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81D" w:rsidRDefault="0058181D">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58181D" w:rsidRPr="0058181D">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29.06.2026</w:t>
            </w:r>
          </w:p>
        </w:tc>
      </w:tr>
      <w:tr w:rsidR="0058181D" w:rsidRPr="0058181D">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(дата реєстрації особою електронного документа)</w:t>
            </w:r>
          </w:p>
        </w:tc>
      </w:tr>
      <w:tr w:rsidR="0058181D" w:rsidRPr="0058181D">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1223/14</w:t>
            </w:r>
          </w:p>
        </w:tc>
      </w:tr>
      <w:tr w:rsidR="0058181D" w:rsidRPr="0058181D">
        <w:tblPrEx>
          <w:tblCellMar>
            <w:top w:w="0" w:type="dxa"/>
            <w:bottom w:w="0" w:type="dxa"/>
          </w:tblCellMar>
        </w:tblPrEx>
        <w:trPr>
          <w:trHeight w:val="300"/>
        </w:trPr>
        <w:tc>
          <w:tcPr>
            <w:tcW w:w="5230" w:type="dxa"/>
            <w:tcBorders>
              <w:top w:val="nil"/>
              <w:left w:val="nil"/>
              <w:bottom w:val="nil"/>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(вихідний реєстраційний номер електронного документа)</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58181D" w:rsidRPr="0058181D">
        <w:tblPrEx>
          <w:tblCellMar>
            <w:top w:w="0" w:type="dxa"/>
            <w:bottom w:w="0" w:type="dxa"/>
          </w:tblCellMar>
        </w:tblPrEx>
        <w:trPr>
          <w:trHeight w:val="300"/>
        </w:trPr>
        <w:tc>
          <w:tcPr>
            <w:tcW w:w="10465" w:type="dxa"/>
            <w:tcBorders>
              <w:top w:val="nil"/>
              <w:left w:val="nil"/>
              <w:bottom w:val="nil"/>
              <w:right w:val="nil"/>
            </w:tcBorders>
            <w:vAlign w:val="bottom"/>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58181D" w:rsidRPr="0058181D">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Голова правлiння</w:t>
            </w:r>
          </w:p>
        </w:tc>
        <w:tc>
          <w:tcPr>
            <w:tcW w:w="216" w:type="dxa"/>
            <w:tcBorders>
              <w:top w:val="nil"/>
              <w:left w:val="nil"/>
              <w:bottom w:val="nil"/>
              <w:right w:val="nil"/>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3334" w:type="dxa"/>
            <w:tcBorders>
              <w:top w:val="nil"/>
              <w:left w:val="nil"/>
              <w:bottom w:val="single" w:sz="6" w:space="0" w:color="auto"/>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216" w:type="dxa"/>
            <w:tcBorders>
              <w:top w:val="nil"/>
              <w:left w:val="nil"/>
              <w:bottom w:val="nil"/>
              <w:right w:val="nil"/>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3284" w:type="dxa"/>
            <w:tcBorders>
              <w:top w:val="nil"/>
              <w:left w:val="nil"/>
              <w:bottom w:val="single" w:sz="6" w:space="0" w:color="auto"/>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Щербина О.Ю.</w:t>
            </w:r>
          </w:p>
        </w:tc>
      </w:tr>
      <w:tr w:rsidR="0058181D" w:rsidRPr="0058181D">
        <w:tblPrEx>
          <w:tblCellMar>
            <w:top w:w="0" w:type="dxa"/>
            <w:bottom w:w="0" w:type="dxa"/>
          </w:tblCellMar>
        </w:tblPrEx>
        <w:trPr>
          <w:trHeight w:val="200"/>
        </w:trPr>
        <w:tc>
          <w:tcPr>
            <w:tcW w:w="3415" w:type="dxa"/>
            <w:tcBorders>
              <w:top w:val="nil"/>
              <w:left w:val="nil"/>
              <w:bottom w:val="nil"/>
              <w:right w:val="nil"/>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(посада)</w:t>
            </w:r>
          </w:p>
        </w:tc>
        <w:tc>
          <w:tcPr>
            <w:tcW w:w="216" w:type="dxa"/>
            <w:tcBorders>
              <w:top w:val="nil"/>
              <w:left w:val="nil"/>
              <w:bottom w:val="nil"/>
              <w:right w:val="nil"/>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3334" w:type="dxa"/>
            <w:tcBorders>
              <w:top w:val="nil"/>
              <w:left w:val="nil"/>
              <w:bottom w:val="nil"/>
              <w:right w:val="nil"/>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3284" w:type="dxa"/>
            <w:tcBorders>
              <w:top w:val="nil"/>
              <w:left w:val="nil"/>
              <w:bottom w:val="nil"/>
              <w:right w:val="nil"/>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(прізвище та ініціали керівника або уповноваженої особи)</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Річний звіт</w:t>
      </w: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"ОБЛТЕПЛОКОМУНЕНЕРГО" (03357671)</w:t>
      </w: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2025 рік</w:t>
      </w: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Рішення про затвердження річного звіту: Рішення наглядової ради емітента від 29.06.2026, Протокол Наглядової ради вiд 29.06.2026</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58181D" w:rsidRPr="0058181D">
        <w:tblPrEx>
          <w:tblCellMar>
            <w:top w:w="0" w:type="dxa"/>
            <w:bottom w:w="0" w:type="dxa"/>
          </w:tblCellMar>
        </w:tblPrEx>
        <w:trPr>
          <w:trHeight w:val="300"/>
        </w:trPr>
        <w:tc>
          <w:tcPr>
            <w:tcW w:w="3415" w:type="dxa"/>
            <w:vMerge w:val="restart"/>
            <w:tcBorders>
              <w:top w:val="nil"/>
              <w:left w:val="nil"/>
              <w:bottom w:val="nil"/>
              <w:right w:val="nil"/>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http://www.otke.cn.ua/regul.shtml</w:t>
            </w:r>
          </w:p>
        </w:tc>
        <w:tc>
          <w:tcPr>
            <w:tcW w:w="1885" w:type="dxa"/>
            <w:tcBorders>
              <w:top w:val="nil"/>
              <w:left w:val="nil"/>
              <w:bottom w:val="single" w:sz="6" w:space="0" w:color="auto"/>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29.06.2026</w:t>
            </w:r>
          </w:p>
        </w:tc>
      </w:tr>
      <w:tr w:rsidR="0058181D" w:rsidRPr="0058181D">
        <w:tblPrEx>
          <w:tblCellMar>
            <w:top w:w="0" w:type="dxa"/>
            <w:bottom w:w="0" w:type="dxa"/>
          </w:tblCellMar>
        </w:tblPrEx>
        <w:trPr>
          <w:trHeight w:val="300"/>
        </w:trPr>
        <w:tc>
          <w:tcPr>
            <w:tcW w:w="3415" w:type="dxa"/>
            <w:vMerge/>
            <w:tcBorders>
              <w:top w:val="nil"/>
              <w:left w:val="nil"/>
              <w:bottom w:val="nil"/>
              <w:right w:val="nil"/>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0"/>
                <w:szCs w:val="20"/>
              </w:rPr>
            </w:pPr>
          </w:p>
        </w:tc>
        <w:tc>
          <w:tcPr>
            <w:tcW w:w="5165" w:type="dxa"/>
            <w:tcBorders>
              <w:top w:val="nil"/>
              <w:left w:val="nil"/>
              <w:bottom w:val="nil"/>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(URL-адреса вебсайту)</w:t>
            </w:r>
          </w:p>
        </w:tc>
        <w:tc>
          <w:tcPr>
            <w:tcW w:w="1885" w:type="dxa"/>
            <w:tcBorders>
              <w:top w:val="nil"/>
              <w:left w:val="nil"/>
              <w:bottom w:val="nil"/>
              <w:right w:val="nil"/>
            </w:tcBorders>
            <w:vAlign w:val="bottom"/>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(дата)</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sectPr w:rsidR="0058181D">
          <w:headerReference w:type="default" r:id="rId7"/>
          <w:pgSz w:w="12240" w:h="15840"/>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щодо усiх випускiв цiнних паперiв, за якими надається забезпечення не надається, тому що Товариство не є особою, яка надає забезпечення.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щодо всiх осiб, якi надають забезпечення за зобов'язаннями емiтента не надається, тому що Товариство не випускало забезпечених цiнних паперiв.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штрафнi санкцiї не надається, тому що штрафних санкцiй не було.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рейтингове агентство не надається, тому що Товариствау звiтному перiодi не визначло та не оновлювало рейтинги.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зв'язку з тим, що в Додатку 7 до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НКЦПФР вiд 06.06.2023 № 608 не передбачено роздiл, в якому потрiбно вказати iнформацiю про засновникiв, така iнформацiя наводиться нижче:</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АТ "Облтеплокомуненерго" створене згiдно з наказом Регiонального вiддiлення Фонду Державного майна України по Чернiгiвськiй областi вiд 18.07.1995 р. № 368 шляхом перетворення Державного комунального пiдприємства теплових мереж "Облтеплокомуненерго" у вiдкрите акцiонерне товариство вiдповiдно до Декрету Кабiнету Мiнiстрiв України вiд 20.05.1993 р. № 57/93 "Про приватизацiю цiлосних майнових комплексiв державних пiдприємств та їх структурних пiдроздiлiв, зданих в оренду". Станом на дату складання звiту засновники Товариства акцiями АТ "Облтеплокомуненерго" не володiють.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вiдокремленi пiдроздiли не надається, тому що Товариство не має фiлiалiв або iнших вiдокремлених пiдроздiлiв.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облiгацiї не надається, тому що Товариство не випускало облiгацiй.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iншi цiннi папери не надається, тому що Товариство не випускало iнших цiнних паперiв.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деривативнi цiннi папери не надається, тому що Товариство не випускало деривативнi цiннi папери.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забезпечення випуску боргових цiнних папнерiв не надається, тому що Товариство не випускало забезпечених боргових цiнних паперiв.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Звiт про стан об'єкта нерухомостi не надається, тому що Товариство не випускало цiльових корпоративних облiгацiй, виконання зобов'язань за якими здiйснюється шляхом об'єкта (частини об'єкта) житлового будiвництва.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придбання власних акцiй протягом звiтного перiоду не надається, тому що Товариство не придбавало власних акцiй протягом звiтного перiоду.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Товариства цiнних паперiв (крiм акцiй) не надається, тому що Товариство не випускало iнших цiнних паперiв.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не надається, тому що будь-якi обмеження щодо обiгу акцiй Товариства вiдсутнi.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зв'язку з тим, що в Додатку 7 до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НКЦПФР вiд 06.06.2023 № 608 не передбачено роздiл, в якому потрiбно вказати iнформацiю про осiб, що володiють 5 i бiльше вiдсотками акцiй Товариства, така iнформацiя наводиться нижче:</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Дмитренко Дарiя Ярославiвна  володiє 272711 простими iменними акцiями, що становить 9%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Пахалюк Ольга Євгенiвна володiє 287861 простими iменними акцiями, що становить 9,5%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Берко Наталiя Вiталiївна володiє 265361 простими iменними акцiями, що становить 8,7574%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Мельничук Iван Вiкторович володiє 293922 простими iменними акцiями, що становить 9,7%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Буренко Микола Миколайович володiє 300305 простими iменними акцiями, що становить 9,9107%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Сiора Сергiй Анатолiйович володiє 155140  простими iменними акцiями, що становить 5,1199%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Чиж Олександр Олегович володiє 296955 простими iменними акцiями, що становить 9,8001%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Ємець Олег Володимирович особа володiє 264066 простими iменними акцiями, що становить 8,7147%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Сергiєнко Вадим Володимирович володiє 151507 простими iменними акцiями, що становить 5%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Литвин Геннадiй Якович володiє 151507 простими iменними акцiями, що становить 5% вiд загальної кiлькостi акцiй.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Вiдомостi про змiну акцiонерiв, яким належать голосуючi акцiї, розмiр пакета яких стає бiльшим, меншим або рiвним пороговому значенню пакета акцiй та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надається, тому що вiдповiдно до пдп.5) п. 48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НКЦПФР вiд 06.06.2023 № 608, приватнi акцiонернi товариства не розкривають таку iнформацiю.</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змiну осiб, якi є власниками фiнансових iнструментiв, пов'язаних з голосуючими акцiями акцiонерного товариства, у разi, якщо сумарна кiлькiсть прав за такими акцiями стає бiльшою, меншою або рiвною пороговому значенню пакета акцiй) не надається, тому що таких змiн не було.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вчинення значних правочинiв, Iнформацiя про вчинення правочинiв, щодо вчинення яких є заiнтересованiсть не надається, тому що такi правочини не вчинялися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Звiт про платежi на користь держави не надається, тому що згiдно iз ст. 1 Закону України "Про бухгалтерський облiк та фiнансову звiтнiсть в Українi" Товариство не готує такий звiт.</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зв'язку з тим, що в Додатку 7 до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НКЦПФР вiд 06.06.2023 № 608 не передбачено пункти, в яких потрiбно розкрити iнформацiю визначену пунктами 1, 2, 8, 9 ч. 3 ст. 127 Закону України "Про ринки капiталу та органiзованi товарнi ринки" така iнформацiя наводиться нижче:</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Посилання на власний кодекс корпоративного управлiння не надається, тому що .Товариство в своїй дiяльностi не керується власним кодексом корпоративного управлiння.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Посилання на кодекс корпоративного управлiння оператора органiзованого ринку капiталу, об'єднання юридичних осiб та/або кодекс корпоративного управлiння, затверджений НКЦПФР та iнший кодекс корпоративного управлiння (за наявностi), який емiтент добровiльно вирiшив застосовувати, включаючи посилання на текст вiдповiдного кодексу у публiчному доступi не надається, тому що Товариство не застосовує кодекси корпоративного управлiння.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щодо вiдхилень вiд положень кодексу корпоративного управлiння не наводиться, оскiльки Товариство не має власного кодексу корпоративного управлiння та не користується кодексами корпоративного управлiння iнших пiдприємств, установ, органiзацiй.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практику корпоративного управлiння Товариства, застосовувану понад визначенi законодавством вимоги не надається, тому що практика корпоративного управлiння понад визначенi законодавством вимоги не застосовується.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Порядок призначення та звiльнення посадових осiб, повноваження посадових осiб визначенi в Статутi товариства, розмiщеному на власному вебсайтi за посиланням:http://www.otke.cn.ua/docum.shtml.</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збори власникiв облiгацiй та загальний опис прийнятих на таких зборах рiшень не надається, тому що Товариство не є емiтентом облiгацiй.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проведенi засiдання комiтетiв ради та загальний опис прийнятих рiшень не надається, оскiльки комiтети в складi Наглядової ради не створювалися.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проведенi засiдання комiтетiв колегiального виконавчого органу та загальний опис прийнятих рiшень не надається, оскiльки комiтети не створювалися.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одноосiбний виконавчий орган не надається, оскiльки в Товариствi функцiї виконавчого органу виконує колегiальний орган - правлiння.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полiтику розкриття iнформацiї не надається, тому що в Товариствi вiдсутнiй внутрiшнiй документ, який визначає полiтику щодо розкриття iнформацiї.</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радника не надається, тому що радник з корпоративних прав в Товариствi вiдсутнiй.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передбачена законодавством про дiяльнiсть та регулювання дiяльностi на ринку фiнансових послуг не надається, тому що Товариство не є фiнансовою установою.</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Звiт про сталий розвиток не надається, тому що такий звiт не готувався.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корпоративнi/акцiонернi договори, укладенi акцiонерами Товариства не надається, тому що такi договори вiдсутнi.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будь-якi договори та/або правочини, умовою чинностi яких є незмiннiсть осiб, якi здiйснюють контроль над емiтентом не надається, тому що такi договори вiдсутнi.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про будь-якi винагороди або компенсацiї, якi мають бути виплаченi посадовим особам емiтента в разi їх звiльнення не надається, так як у звiтному роцi будь-якi винагороди або компенсацiї, якi мають бути виплаченi посадовим особам Товариства в разi їх звiльнення, не передбачено i не виплачувалися.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Дивiдендна полiтика не надається, тому що в Товариствi вiдсутнiй внутрiшнiй документ, який би визначав дивiдендну полiтику.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виплату дивiдендiв та iнших доходiв за цiнними паперами у звiтному роцi не надається, тому що дивiденди в звiтному перiодi не виплачувались.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пов'язана з емiсiєю окремих видiв цiнних паперiв (iнформацiя щодо iпотечних облiгацiй, iнформацiя щодо сертифiкатiв ФОН) не надається, тому що Товариство не випускало iпотечних облiгацiй та сертифiкатiв ФОН.</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Рiчна фiнансова звiтнiсть поручителя (страховика/гаранта), що здiйснює забезпечення випуску боргових цiнних паперiв не надаться тому, що Товариство не здiйснювало випуск боргових цiнних паперiв.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r>
        <w:rPr>
          <w:rFonts w:ascii="Times New Roman CYR" w:hAnsi="Times New Roman CYR" w:cs="Times New Roman CYR"/>
          <w:b/>
          <w:bCs/>
          <w:sz w:val="24"/>
          <w:szCs w:val="24"/>
        </w:rPr>
        <w:t>до річного звіту</w:t>
      </w: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tbl>
      <w:tblPr>
        <w:tblW w:w="0" w:type="auto"/>
        <w:tblLook w:val="04A0"/>
      </w:tblPr>
      <w:tblGrid>
        <w:gridCol w:w="9464"/>
        <w:gridCol w:w="1546"/>
      </w:tblGrid>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I. Загальна інформація</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6</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1. Ідентифікаційні дані та загальна інформація</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6</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2. Органи управління та посадові особи. Організаційна структура</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11</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3. Структура власності</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16</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4. Опис господарської та фінансової діяльності</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16</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5. Участь в інших особах</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0D28B8">
              <w:rPr>
                <w:rFonts w:ascii="Times New Roman CYR" w:eastAsiaTheme="minorEastAsia" w:hAnsi="Times New Roman CYR" w:cs="Times New Roman CYR"/>
                <w:sz w:val="24"/>
                <w:szCs w:val="24"/>
              </w:rPr>
              <w:t>3</w:t>
            </w:r>
            <w:r w:rsidRPr="0058181D">
              <w:rPr>
                <w:rFonts w:ascii="Times New Roman CYR" w:eastAsiaTheme="minorEastAsia" w:hAnsi="Times New Roman CYR" w:cs="Times New Roman CYR"/>
                <w:sz w:val="24"/>
                <w:szCs w:val="24"/>
                <w:lang w:val="en-US"/>
              </w:rPr>
              <w:t>0</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II. Інформація щодо капіталу та цінних паперів</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31</w:t>
            </w:r>
          </w:p>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1. Структура капіталу</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31</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3. Цінні папери</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33</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III. Фінансова інформація</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F87BA1">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rPr>
              <w:t>3</w:t>
            </w:r>
            <w:r w:rsidRPr="0058181D">
              <w:rPr>
                <w:rFonts w:ascii="Times New Roman CYR" w:eastAsiaTheme="minorEastAsia" w:hAnsi="Times New Roman CYR" w:cs="Times New Roman CYR"/>
                <w:sz w:val="24"/>
                <w:szCs w:val="24"/>
                <w:lang w:val="en-US"/>
              </w:rPr>
              <w:t>6</w:t>
            </w:r>
            <w:r w:rsidRPr="000D28B8">
              <w:rPr>
                <w:rFonts w:ascii="Times New Roman CYR" w:eastAsiaTheme="minorEastAsia" w:hAnsi="Times New Roman CYR" w:cs="Times New Roman CYR"/>
                <w:sz w:val="24"/>
                <w:szCs w:val="24"/>
              </w:rPr>
              <w:t>, 7</w:t>
            </w:r>
            <w:r w:rsidR="00F87BA1">
              <w:rPr>
                <w:rFonts w:ascii="Times New Roman CYR" w:eastAsiaTheme="minorEastAsia" w:hAnsi="Times New Roman CYR" w:cs="Times New Roman CYR"/>
                <w:sz w:val="24"/>
                <w:szCs w:val="24"/>
                <w:lang w:val="en-US"/>
              </w:rPr>
              <w:t>4</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1. Інформація про розмір доходу за видами діяльності особи</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36</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2. Річна фінансова звітність</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36</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3. Аудиторський звіт до річної фінансової звітності</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0D28B8">
              <w:rPr>
                <w:rFonts w:ascii="Times New Roman CYR" w:eastAsiaTheme="minorEastAsia" w:hAnsi="Times New Roman CYR" w:cs="Times New Roman CYR"/>
                <w:sz w:val="24"/>
                <w:szCs w:val="24"/>
              </w:rPr>
              <w:t>3</w:t>
            </w:r>
            <w:r w:rsidRPr="0058181D">
              <w:rPr>
                <w:rFonts w:ascii="Times New Roman CYR" w:eastAsiaTheme="minorEastAsia" w:hAnsi="Times New Roman CYR" w:cs="Times New Roman CYR"/>
                <w:sz w:val="24"/>
                <w:szCs w:val="24"/>
                <w:lang w:val="en-US"/>
              </w:rPr>
              <w:t>6</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4. Твердження щодо річної інформації</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37</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5. Значні правочини та правочини із заінтересованістю</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38</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IV. Нефінансова інформація</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38</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1. Звіт керівництва (звіт про управління)</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38</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1) звіт про корпоративне управління</w:t>
            </w:r>
          </w:p>
          <w:p w:rsidR="0058181D" w:rsidRPr="000D28B8"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46" w:type="dxa"/>
          </w:tcPr>
          <w:p w:rsidR="0058181D" w:rsidRPr="0058181D" w:rsidRDefault="0058181D" w:rsidP="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48</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5. Перелік посилань на внутрішні документи особи, що розміщені на вебсайті особи</w:t>
            </w:r>
          </w:p>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c>
          <w:tcPr>
            <w:tcW w:w="1546" w:type="dxa"/>
          </w:tcPr>
          <w:p w:rsidR="0058181D" w:rsidRPr="0058181D" w:rsidRDefault="0058181D" w:rsidP="00F87BA1">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7</w:t>
            </w:r>
            <w:r w:rsidR="00F87BA1">
              <w:rPr>
                <w:rFonts w:ascii="Times New Roman CYR" w:eastAsiaTheme="minorEastAsia" w:hAnsi="Times New Roman CYR" w:cs="Times New Roman CYR"/>
                <w:sz w:val="24"/>
                <w:szCs w:val="24"/>
                <w:lang w:val="en-US"/>
              </w:rPr>
              <w:t>2</w:t>
            </w:r>
          </w:p>
        </w:tc>
      </w:tr>
      <w:tr w:rsidR="0058181D" w:rsidRPr="0058181D" w:rsidTr="00F87BA1">
        <w:tc>
          <w:tcPr>
            <w:tcW w:w="9464" w:type="dxa"/>
          </w:tcPr>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0D28B8">
              <w:rPr>
                <w:rFonts w:ascii="Times New Roman CYR" w:eastAsiaTheme="minorEastAsia" w:hAnsi="Times New Roman CYR" w:cs="Times New Roman CYR"/>
                <w:sz w:val="24"/>
                <w:szCs w:val="24"/>
              </w:rPr>
              <w:t>VI. Список посилань на регульовану інформацію, яка була розкрита протягом звітного року</w:t>
            </w:r>
          </w:p>
          <w:p w:rsidR="0058181D" w:rsidRPr="000D28B8" w:rsidRDefault="0058181D" w:rsidP="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c>
          <w:tcPr>
            <w:tcW w:w="1546" w:type="dxa"/>
          </w:tcPr>
          <w:p w:rsidR="0058181D" w:rsidRPr="0058181D" w:rsidRDefault="0058181D" w:rsidP="00F87BA1">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val="en-US"/>
              </w:rPr>
            </w:pPr>
            <w:r w:rsidRPr="0058181D">
              <w:rPr>
                <w:rFonts w:ascii="Times New Roman CYR" w:eastAsiaTheme="minorEastAsia" w:hAnsi="Times New Roman CYR" w:cs="Times New Roman CYR"/>
                <w:sz w:val="24"/>
                <w:szCs w:val="24"/>
                <w:lang w:val="en-US"/>
              </w:rPr>
              <w:t>7</w:t>
            </w:r>
            <w:r w:rsidR="00F87BA1">
              <w:rPr>
                <w:rFonts w:ascii="Times New Roman CYR" w:eastAsiaTheme="minorEastAsia" w:hAnsi="Times New Roman CYR" w:cs="Times New Roman CYR"/>
                <w:sz w:val="24"/>
                <w:szCs w:val="24"/>
                <w:lang w:val="en-US"/>
              </w:rPr>
              <w:t>2</w:t>
            </w:r>
          </w:p>
        </w:tc>
      </w:tr>
    </w:tbl>
    <w:p w:rsidR="0058181D" w:rsidRP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sectPr w:rsidR="0058181D">
          <w:pgSz w:w="12240" w:h="15840"/>
          <w:pgMar w:top="570" w:right="720" w:bottom="570" w:left="720" w:header="708" w:footer="708" w:gutter="0"/>
          <w:cols w:space="720"/>
          <w:noEndnote/>
        </w:sectPr>
      </w:pPr>
    </w:p>
    <w:p w:rsidR="0058181D" w:rsidRDefault="0058181D" w:rsidP="00F87BA1">
      <w:pPr>
        <w:widowControl w:val="0"/>
        <w:numPr>
          <w:ilvl w:val="0"/>
          <w:numId w:val="1"/>
        </w:numPr>
        <w:autoSpaceDE w:val="0"/>
        <w:autoSpaceDN w:val="0"/>
        <w:adjustRightInd w:val="0"/>
        <w:spacing w:after="0" w:line="240" w:lineRule="auto"/>
        <w:jc w:val="center"/>
        <w:rPr>
          <w:rFonts w:ascii="Times New Roman CYR" w:hAnsi="Times New Roman CYR" w:cs="Times New Roman CYR"/>
          <w:b/>
          <w:bCs/>
          <w:sz w:val="24"/>
          <w:szCs w:val="24"/>
          <w:lang w:val="en-US"/>
        </w:rPr>
      </w:pPr>
      <w:r>
        <w:rPr>
          <w:rFonts w:ascii="Times New Roman CYR" w:hAnsi="Times New Roman CYR" w:cs="Times New Roman CYR"/>
          <w:b/>
          <w:bCs/>
          <w:sz w:val="24"/>
          <w:szCs w:val="24"/>
        </w:rPr>
        <w:t>Загальна інформація</w:t>
      </w:r>
    </w:p>
    <w:p w:rsidR="00F87BA1" w:rsidRPr="00F87BA1" w:rsidRDefault="00F87BA1" w:rsidP="00DE3BEF">
      <w:pPr>
        <w:widowControl w:val="0"/>
        <w:autoSpaceDE w:val="0"/>
        <w:autoSpaceDN w:val="0"/>
        <w:adjustRightInd w:val="0"/>
        <w:spacing w:after="0" w:line="240" w:lineRule="auto"/>
        <w:ind w:left="360"/>
        <w:rPr>
          <w:rFonts w:ascii="Times New Roman CYR" w:hAnsi="Times New Roman CYR" w:cs="Times New Roman CYR"/>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АКЦIОНЕРНЕ ТОВАРИСТВО "ОБЛТЕПЛОКОМУНЕНЕРГО"</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АТ "ОТКЕ"</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03357671</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25.07.1995</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14000, Україна, Чернігівська обл., м. Чернiгiв, вул. Ремiснича, 55-б</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V</w:t>
            </w:r>
            <w:r w:rsidRPr="0058181D">
              <w:rPr>
                <w:rFonts w:ascii="Times New Roman CYR" w:eastAsiaTheme="minorEastAsia" w:hAnsi="Times New Roman CYR" w:cs="Times New Roman CYR"/>
                <w:sz w:val="24"/>
                <w:szCs w:val="24"/>
              </w:rPr>
              <w:tab/>
              <w:t>Емітент</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Особа, яка надає забезпечення</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Так</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V</w:t>
            </w:r>
            <w:r w:rsidRPr="0058181D">
              <w:rPr>
                <w:rFonts w:ascii="Times New Roman CYR" w:eastAsiaTheme="minorEastAsia" w:hAnsi="Times New Roman CYR" w:cs="Times New Roman CYR"/>
                <w:sz w:val="24"/>
                <w:szCs w:val="24"/>
              </w:rPr>
              <w:tab/>
              <w:t>Ні</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Велике</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V</w:t>
            </w:r>
            <w:r w:rsidRPr="0058181D">
              <w:rPr>
                <w:rFonts w:ascii="Times New Roman CYR" w:eastAsiaTheme="minorEastAsia" w:hAnsi="Times New Roman CYR" w:cs="Times New Roman CYR"/>
                <w:sz w:val="24"/>
                <w:szCs w:val="24"/>
              </w:rPr>
              <w:tab/>
              <w:t>Середнє</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Мале</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Мікро</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info@teplo.cn.ua</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http://www.otke.cn.ua/</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+380 (46) 277-43-24</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757530</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0</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0</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859</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Витрати на оплату праці,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35.30 - Постачання пари, гарячої води та кондицiйованого повiтря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42.99 - Будiвництво iнших споруд</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43.22 - Монтаж водопровiдних мереж, систем опалення та кондицiонування</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19</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Однорівнева</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V</w:t>
            </w:r>
            <w:r w:rsidRPr="0058181D">
              <w:rPr>
                <w:rFonts w:ascii="Times New Roman CYR" w:eastAsiaTheme="minorEastAsia" w:hAnsi="Times New Roman CYR" w:cs="Times New Roman CYR"/>
                <w:sz w:val="24"/>
                <w:szCs w:val="24"/>
              </w:rPr>
              <w:tab/>
              <w:t>Дворівнева</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Інше</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ФIЛIЯ "ЧЕРНIГIВСЬКЕ РЕГIОНАЛЬНЕ УПРАВЛIННЯ" ПУБЛIЧНОГО АКЦIОНЕРНОГО ТОВАРИСТВА КОМЕРЦIЙНОГО БАНКУ "ПРИВАТБАНК"</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14360570</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UA 783052990000026005036303111</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гривня</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sectPr w:rsidR="0058181D">
          <w:pgSz w:w="12240" w:h="15840"/>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Судові справи: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200"/>
        <w:gridCol w:w="2200"/>
        <w:gridCol w:w="2200"/>
        <w:gridCol w:w="2200"/>
        <w:gridCol w:w="2200"/>
        <w:gridCol w:w="2200"/>
        <w:gridCol w:w="1650"/>
      </w:tblGrid>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Номер справи та дата відкриття провадження</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Найменування суду</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Позивач</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Відповідач</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Третя особа</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Позовні вимоги (в т.ч. їх розмір)</w:t>
            </w:r>
          </w:p>
        </w:tc>
        <w:tc>
          <w:tcPr>
            <w:tcW w:w="16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Стан розгляду справи</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w:t>
            </w:r>
          </w:p>
        </w:tc>
        <w:tc>
          <w:tcPr>
            <w:tcW w:w="16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927/721/25</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21.07.2025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Господарський суд Чернiгiвської областi</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АТ "Облтеплокомуненерго"</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Виконавчий комiтет Чернiгiвської мiської ради</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Про стягнення 23 743 299,53 грн</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Рiшенням господарського суду Чернiгiвської областi вiд 10.12.2025 позов задоволений частково - 19 786 082,94 грнРiшення оскаржене вiдповiдачем до Пiвнiчного апеляцiйного господарського суду</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927/331/25</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08.04.2025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Господарський суд Чернiгiвської областi</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ТОВ Газопостачальна компанiя "Нафтогаз Трейдинг"</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АТ "Облтеплокомуненерго"</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Про стягнення 437 254 745,29 грн</w:t>
            </w:r>
          </w:p>
        </w:tc>
        <w:tc>
          <w:tcPr>
            <w:tcW w:w="16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Рiшенням вiд 15.07.2025 господарський суд Чернiгiвської областi позов задовольнив.</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927/166/25</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16.02.2025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Господарський суд Чернiгiвської областi</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АТ "Облтеплокомуненерго"</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Виконавчий комiтет Чернiгiвської мiської ради</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Про стягнення 11 587 831,82 грн</w:t>
            </w:r>
          </w:p>
        </w:tc>
        <w:tc>
          <w:tcPr>
            <w:tcW w:w="16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Рiшенням вiд 27.05.2025, залишеним без змiн постановою Пiвнiчного апеляцiйного господарського суду вiд 23.07.2025 позов задоволений. Постановою вiд 02.10.2025 КГС судовi рiшення попереднiх iнстанцiй скасував, справу направив на новий розгляд. Рiшенням вi</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620/5144/24</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15.04.2024</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Чернiгiвський окружний адмiнiстративний суд</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АТ "Облтеплокомуненерго"</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ГУ ДПС у Чернiгiвськiй областi</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Про визнання протиправними та скасування ППР на суму 11 275 794,09грн.</w:t>
            </w:r>
          </w:p>
        </w:tc>
        <w:tc>
          <w:tcPr>
            <w:tcW w:w="16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Рiшенням вiд 04.06.2024 у позовi вiдмовлено, постановою вiд 12.11.2024 Шостий апеляцiйний адмiнiстративний суд рiшення мiсцевого суду залишив без змiн, постановою вiд 24.06.2025 Верховний Суд судовi рiшення попереднiх судових iнстанцiй залишив без змiн.</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Штрафні санкції щодо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200"/>
        <w:gridCol w:w="2200"/>
        <w:gridCol w:w="2200"/>
        <w:gridCol w:w="4400"/>
        <w:gridCol w:w="3850"/>
      </w:tblGrid>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Номер та дата рішення, яким накладено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Орган, який наклав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Суть санкції (та її розмір, якщо застосовується)</w:t>
            </w:r>
          </w:p>
        </w:tc>
        <w:tc>
          <w:tcPr>
            <w:tcW w:w="4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Підстава для накладення санкції (з посиланням на відповідні норми законодавства)</w:t>
            </w:r>
          </w:p>
        </w:tc>
        <w:tc>
          <w:tcPr>
            <w:tcW w:w="38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Інформація про виконання</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4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38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110/Ж10/31-00-04-01-01-27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30.01.2025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2777434,17грн.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Несвоєчасна реєстрацiя податкових накладних, п. 120-1.1 ст.120-1 ПК України</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 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432//Ж10/31-00-04-01-01-27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03.03.2025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501922,09 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Порушення термiнiв сплати узгодженої суми податкового  зобов'язання, п. 124.1 ст.124 ПК України</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538/Ж10/31-00-04-01-01-27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12.03.2025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2 861 245,74грн.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Несвоєчасна реєстрацiя податкових накладних, п. 120-1.1 ст.120-1 ПК України</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537/Ж10/31-00-04-01-01-27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12.03.2025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1 708 612,65грн.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Несвоєчасна реєстрацiя податкових накладних, п. 120-1.1 ст.120-1 ПК України</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535/Ж10/31-00-04-01-01-27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12.03.2025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933 864,08грн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Несвоєчасна реєстрацiя податкових накладних, п. 120-1.1 ст.120-1 ПК України</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500/Ж10/31-00-04-01-01-27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07.03.2025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1 581 587,19грн.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xml:space="preserve">Несвоєчасна реєстрацiя податкових накладних, п. 120-1.1 статтi 120-1 та п. 90 2 роздiлу XX ПК України </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484/Ж10/31-00-04-01-01-27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06.03.2025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1 430 340,9грн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xml:space="preserve">Несвоєчасна реєстрацiя податкових накладних, п. 120-1.1 статтi 120-1 та п. 90 2 роздiлу XX ПК України </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503/Ж10/31-00-04-01-01-27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25.03.2025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128005,08грн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Несвоєчасна реєстрацiя податкових накладних, п. 120-1.1 ст. 120-1 ПК України</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 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657/Ж10/31-00-04-01-01-27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25.03.2025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454181,19грн.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xml:space="preserve">Несвоєчасна реєстрацiя податкових накладних, п. 120-1.1 статтi 120-1 та п. 90 2 роздiлу XX ПК України </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 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10</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963/Ж10/31-00-04-01-01-27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02.05.2025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ЦМУ ДПС по роботi з великими платниками податкiв</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707208,76грн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xml:space="preserve">Несвоєчасна реєстрацiя податкових накладних, п. 120-1.1 статтi 120-1 та п. 90 2 роздiлу XX ПК України </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 виконано</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11</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УЗС № 003</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12.03.2025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ГУ Держпродспоживслужби в Чернiгiвськiй областi</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109008грн</w:t>
            </w:r>
          </w:p>
        </w:tc>
        <w:tc>
          <w:tcPr>
            <w:tcW w:w="4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Здiйснення розподiлу обсягiв комунальних послуг з порушенням законодавства, ст. 14 Закону України "Про комерцiйний облiк теплової енергiї та водопостачання".</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Виконано</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pPr>
    </w:p>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sectPr w:rsidR="0058181D">
          <w:pgSz w:w="16837" w:h="11905" w:orient="landscape"/>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2. Органи управління та посадові особи. Організаційна структура</w:t>
      </w: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Персональний склад органу управління (контролю)</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Загальнi збори</w:t>
            </w:r>
          </w:p>
        </w:tc>
        <w:tc>
          <w:tcPr>
            <w:tcW w:w="4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акцiонери згiдно з реєстром власникiв iменних цiнних паперiв</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акцiонери згiдно з реєстром власникiв iменних цiнних паперiв</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(три) особи</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Станом на 31.12.2025:</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Члени Наглядової ради: Бойко Олег Сергiйович, Берко Наталiя Вiталiївна, Ємець Олег Володимирович</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Правлiння</w:t>
            </w:r>
          </w:p>
        </w:tc>
        <w:tc>
          <w:tcPr>
            <w:tcW w:w="4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(три) особи</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Станом на 31.12.2025:</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Голова Правлiння: Щербина Олексiй Юрiйович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Член Правлiння: Прохоренко Андрiй Дмитрович, Фадєєва Тетяна Вiкторiвна</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sectPr w:rsidR="0058181D">
          <w:pgSz w:w="12240" w:h="15840"/>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посадових осіб</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Стать чоловіча/ жіноча - (ч/ж)</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12</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Наглядової ради (акцiонер)</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Берко Наталiя Вiталiївна</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1977</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32</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АКЦIОНЕРНЕ ТОВАРИСТВО "ОБЛТЕПЛОКОМУНЕНЕРГО"</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03357671</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юридична практика, головний фахiвець з правових питань, член Наглядової ради;</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14.07.2023</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ж</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Наглядової ради (акцiонер)</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Ємець Олег Володимирович</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26</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АКЦIОНЕРНЕ ТОВАРИСТВО "ОБЛТЕПЛОКОМУНЕНЕРГО"</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03357671</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Наглядової ради;</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14.07.2023</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Наглядової ради (представник акцiонера)</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Бойко Олег Сергiйович</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1977</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28</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АКЦIОНЕРНЕ ТОВАРИСТВО "ОБЛТЕПЛОКОМУНЕНЕРГО"</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03357671</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директор, начальник вiддiлу реалiзацiї природного газу, директор комерцiйний.</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14.07.2023</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на 3 роки</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Стать чоловіча/ жіноча - (ч/ж)</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12</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Голова правлiння</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Щербина Олексiй Юрiйович</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1978</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21</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ТОВАРИСТВО З ОБМЕЖЕНОЮ ВIДПОВIДАЛЬНIСТЮ ФIРМА "ТЕХНОВА"</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24100060</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директор; АКЦIОНЕРНЕ ТОВАРИСТВО "ОБЛТЕПЛОКОМУНЕНЕРГО", 03357671, Голова правлiння;</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25.08.2021</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до переобрання</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правлiння</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Прохоренко Андрiй Дмитрович</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1972</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30</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АКЦIОНЕРНЕ ТОВАРИСТВО "ОБЛТЕПЛОКОМУНЕНЕРГО"</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03357671</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радник Голови правлiння, комерцiйний директор, Член правлiння;</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07.12.2021</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до переобрання</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правлiння</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Фадєєва Тетяна Вiкторiвна</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1979</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28</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АКЦIОНЕРНЕ ТОВАРИСТВО "ОБЛТЕПЛОКОМУНЕНЕРГО"</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03357671</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керiвник департаменту бухгалтерського облiку , аудиту та фiнансової звiтностi;  Член правлiння;</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07.12.2021</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до переобрання</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ж</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Стать чоловіча/ жіноча - (ч/ж)</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12</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Корпоративний секретар</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Мiгулько Ольга Олександрiвна</w:t>
            </w:r>
          </w:p>
        </w:tc>
        <w:tc>
          <w:tcPr>
            <w:tcW w:w="1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1990</w:t>
            </w:r>
          </w:p>
        </w:tc>
        <w:tc>
          <w:tcPr>
            <w:tcW w:w="1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11</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xml:space="preserve">ТОВАРИСТВО З ОБМЕЖЕНОЮ ВIДПОВIДАЛЬНIСТЮ "БОЛАДЖА ЮКРЕЙН"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44516637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директор;</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xml:space="preserve">Товаристиво з обмеженою вiдповiдальнiстю "ЕМКОН", 36557511,директор, начальник вiддiлу консультацiйних послуг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15.09.2023</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до дати прийняття Наглядовою радою рiшення про припинення повноважень</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ж</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корпоративного секретаря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350"/>
        <w:gridCol w:w="2250"/>
        <w:gridCol w:w="1300"/>
        <w:gridCol w:w="1300"/>
        <w:gridCol w:w="1200"/>
        <w:gridCol w:w="3600"/>
        <w:gridCol w:w="1400"/>
        <w:gridCol w:w="1900"/>
        <w:gridCol w:w="1100"/>
      </w:tblGrid>
      <w:tr w:rsidR="0058181D" w:rsidRPr="0058181D">
        <w:tblPrEx>
          <w:tblCellMar>
            <w:top w:w="0" w:type="dxa"/>
            <w:bottom w:w="0" w:type="dxa"/>
          </w:tblCellMar>
        </w:tblPrEx>
        <w:trPr>
          <w:trHeight w:val="200"/>
        </w:trPr>
        <w:tc>
          <w:tcPr>
            <w:tcW w:w="13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Дата призначення на посаду</w:t>
            </w:r>
          </w:p>
        </w:tc>
        <w:tc>
          <w:tcPr>
            <w:tcW w:w="22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Ім'я</w:t>
            </w:r>
          </w:p>
        </w:tc>
        <w:tc>
          <w:tcPr>
            <w:tcW w:w="1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РНОКПП</w:t>
            </w:r>
          </w:p>
        </w:tc>
        <w:tc>
          <w:tcPr>
            <w:tcW w:w="1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УНЗР</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Стаж роботи (років)</w:t>
            </w:r>
          </w:p>
        </w:tc>
        <w:tc>
          <w:tcPr>
            <w:tcW w:w="36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Повне найменування, ідентифікаційний код юридичної особи та посада, яку займав</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Непогашена судимість за корисливі та посадові злочини</w:t>
            </w:r>
          </w:p>
        </w:tc>
        <w:tc>
          <w:tcPr>
            <w:tcW w:w="1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Контактні дані (телефон та адреса електронної пошти корпоративного секретаря)</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Стать чоловіча/ жіноча - (ч/ж)</w:t>
            </w:r>
          </w:p>
        </w:tc>
      </w:tr>
      <w:tr w:rsidR="0058181D" w:rsidRPr="0058181D">
        <w:tblPrEx>
          <w:tblCellMar>
            <w:top w:w="0" w:type="dxa"/>
            <w:bottom w:w="0" w:type="dxa"/>
          </w:tblCellMar>
        </w:tblPrEx>
        <w:trPr>
          <w:trHeight w:val="200"/>
        </w:trPr>
        <w:tc>
          <w:tcPr>
            <w:tcW w:w="13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2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1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1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36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w:t>
            </w:r>
          </w:p>
        </w:tc>
        <w:tc>
          <w:tcPr>
            <w:tcW w:w="1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w:t>
            </w:r>
          </w:p>
        </w:tc>
      </w:tr>
      <w:tr w:rsidR="0058181D" w:rsidRPr="0058181D">
        <w:tblPrEx>
          <w:tblCellMar>
            <w:top w:w="0" w:type="dxa"/>
            <w:bottom w:w="0" w:type="dxa"/>
          </w:tblCellMar>
        </w:tblPrEx>
        <w:trPr>
          <w:trHeight w:val="200"/>
        </w:trPr>
        <w:tc>
          <w:tcPr>
            <w:tcW w:w="13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15.09.2023</w:t>
            </w:r>
          </w:p>
        </w:tc>
        <w:tc>
          <w:tcPr>
            <w:tcW w:w="22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Мiгулько Ольга Олександрiвна</w:t>
            </w:r>
          </w:p>
        </w:tc>
        <w:tc>
          <w:tcPr>
            <w:tcW w:w="1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11</w:t>
            </w:r>
          </w:p>
        </w:tc>
        <w:tc>
          <w:tcPr>
            <w:tcW w:w="36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ТОВАРИСТВО З ОБМЕЖЕНОЮ ВIДПОВIДАЛЬНIСТЮ "БОЛАДЖА ЮКРЕЙН"</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44516637</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xml:space="preserve">директор;Товаристиво з обмеженою вiдповiдальнiстю "ЕМКОН", 36557511, директор, начальник вiддiлу консультацiйних послуг </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Ні</w:t>
            </w:r>
          </w:p>
        </w:tc>
        <w:tc>
          <w:tcPr>
            <w:tcW w:w="1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+380972741892</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migulko@emcon.com.ua</w:t>
            </w:r>
          </w:p>
        </w:tc>
        <w:tc>
          <w:tcPr>
            <w:tcW w:w="1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ж</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2500"/>
        <w:gridCol w:w="1625"/>
        <w:gridCol w:w="1625"/>
        <w:gridCol w:w="1625"/>
        <w:gridCol w:w="1625"/>
        <w:gridCol w:w="1700"/>
        <w:gridCol w:w="1700"/>
      </w:tblGrid>
      <w:tr w:rsidR="0058181D" w:rsidRPr="0058181D">
        <w:tblPrEx>
          <w:tblCellMar>
            <w:top w:w="0" w:type="dxa"/>
            <w:bottom w:w="0" w:type="dxa"/>
          </w:tblCellMar>
        </w:tblPrEx>
        <w:trPr>
          <w:trHeight w:val="300"/>
        </w:trPr>
        <w:tc>
          <w:tcPr>
            <w:tcW w:w="550" w:type="dxa"/>
            <w:vMerge w:val="restart"/>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Кількість за типами акцій</w:t>
            </w:r>
          </w:p>
        </w:tc>
      </w:tr>
      <w:tr w:rsidR="0058181D" w:rsidRPr="0058181D">
        <w:tblPrEx>
          <w:tblCellMar>
            <w:top w:w="0" w:type="dxa"/>
            <w:bottom w:w="0" w:type="dxa"/>
          </w:tblCellMar>
        </w:tblPrEx>
        <w:trPr>
          <w:trHeight w:val="300"/>
        </w:trPr>
        <w:tc>
          <w:tcPr>
            <w:tcW w:w="550" w:type="dxa"/>
            <w:vMerge/>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привілейовані іменні</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9</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Голова правлiння</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Щербина Олексiй Юрiйович</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правлiння</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Прохоренко Андрiй Дмитрович</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правлiння</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Фадєєва Тетяна Вiкторiвна</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Берко Наталiя Вiталiївна</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265 361</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8,7574</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265 361</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5</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Ємець Олег Володимирович</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263 680</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8,702</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263 680</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6</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Бойко Олег Сергiйович</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7</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Корпоративний секретар</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Мiгулько Ольга Олександрiвна</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0"/>
                <w:szCs w:val="20"/>
              </w:rPr>
            </w:pPr>
            <w:r w:rsidRPr="0058181D">
              <w:rPr>
                <w:rFonts w:ascii="Times New Roman CYR" w:eastAsiaTheme="minorEastAsia" w:hAnsi="Times New Roman CYR" w:cs="Times New Roman CYR"/>
                <w:sz w:val="20"/>
                <w:szCs w:val="20"/>
              </w:rPr>
              <w:t>0</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pPr>
    </w:p>
    <w:p w:rsidR="0058181D" w:rsidRDefault="0058181D">
      <w:pPr>
        <w:widowControl w:val="0"/>
        <w:autoSpaceDE w:val="0"/>
        <w:autoSpaceDN w:val="0"/>
        <w:adjustRightInd w:val="0"/>
        <w:spacing w:after="0" w:line="240" w:lineRule="auto"/>
        <w:rPr>
          <w:rFonts w:ascii="Times New Roman CYR" w:hAnsi="Times New Roman CYR" w:cs="Times New Roman CYR"/>
          <w:sz w:val="20"/>
          <w:szCs w:val="20"/>
        </w:rPr>
        <w:sectPr w:rsidR="0058181D">
          <w:pgSz w:w="16837" w:h="11905" w:orient="landscape"/>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Організаційна структура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http://www.otke.cn.ua/about.shtml</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3. Структура власності</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http://www.otke.cn.ua/about.shtml</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Опис господарської та фінансової діяльності</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належить до будь-яких об'єднань пiдприємств.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проводить спiльну дiяльнiсть з iншими органiзацiями, пiдприємствами, установами.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Опис обраної облiкової полiтики (метод нарахування амортизацiї, метод оцiнки вартостi запасiв, метод облiку та оцiнки вартостi фiнансових iнвестицiй тощо).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Облiкова полiтика була незмiнна.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Основою облiкової полiтики Товариства у звiтному роцi є Закон України "Про бухгалтерський облiк та фiнансову звiтнiсть в Українi", нацiональнi Положення (Стандарти) бухгалтерського облiку та внутрiшнi документи Товариства (наказ про облiкову полiтику, iнш.).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Облiкова полiтика Товариства базується на основних принципах бухгалтерського облiку, викладених в Законi України "Про бухгалтерський облiк та фiнансову звiтнiсть в Українi".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Фiнансова звiтнiсть складається вiдповiдно до принципiв пiдготовки фiнансової звiтностi, викладених у НП(С)БО №1 "Загальнi вимоги до фiнансової звiтностi".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складає мiсячну, квартальну та рiчну звiтнiсть. Звiтним перiодом вважається календарний рiк, промiжним звiтним перiодом - мiсяць, квартал. Звiтнiсть складається наростаючим пiдсумком з початку звiтного року.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 веденнi облiкових записiв, використовується "План рахункiв бухгалтерського облiку активiв, капiталу, зобов'язань та господарських операцiй пiдприємств i органiзацiй" затверджений наказом Мiнфiну України вiд 30.11.99р. №291 та "Iнструкцiя про застосування плану рахункiв".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 створеннi, прийняттi, вiдображеннi в бухгалтерському облiку i зберiганнi первинних документiв та регiстрiв бухгалтерського облiку використовується "Положення про документальне забезпечення записiв в бухгалтерському облiку" затвердженого наказом Мiнфiну України вiд 24.05.1995р. №88 (iз змiнами).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Для забезпечення достовiрностi даних бухгалтерського облiку й звiтностi проводиться iнвентаризацiя активiв i зобов'язань, вiдповiдно до "Положення про iнвентаризацiю активiв та зобов'язань", затвердженого наказом Мiнiстерства фiнансiв України вiд 02.09.2014 року № 879.</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Методологiчнi засади формування у бухгалтерському облiку iнформацiї про нематерiальнi активи i незавершенi капiтальнi iнвестицiї в нематерiальнi активи та розкриття iнформацiї про них у фiнансовiй звiтностi визначаються НП(С)БО 8 "Нематерiальнi активи".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Нематерiальнi активи зараховуються на баланс за первiсною вартiстю. При придбаннi (створеннi) нематерiального активу строк його корисного використання визначається експертною комiсiєю i затверджується наказом керiвника Товариства.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Амортизацiя нематерiальних активiв здiйснюється прямолiнiйним методом, строк амортизацiї встановлюється окремо по кожному об'єкту, але не бiльше 10 рокiв.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Методологiчнi засади формування в бухгалтерському облiку iнформацiї про основнi засоби, iншi необоротнi матерiальнi активи та незавершенi капiтальнi iнвестицiї в необоротнi матерiальнi активи визначаються НП(С)БО 7 "Основнi засоби".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засобами визнаються матерiальнi активи Товариства, якi утримуються з метою використання у процесi виробництва або постачання товарiв, надання послуг, здавання в оренду iншим особам або для здiйснення адмiнiстративних i соцiально-культурних функцiй, очiкуваний строк корисного використання яких бiльше одного року.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Вартiсна ознака предметiв, що вiдносяться до основних засобiв, прийнята в розмiрi, що перевищує 20 000 грн. без ПДВ.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Класифiкацiя об'єктiв основних засобiв та iнших необоротних матерiальних активiв здiйснюється пiдприємством виходячи з особливостей iх використання та п.5 НП(С)БО 7.</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бухгалтерському облiку формуються наступнi класи: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Будiвлi, споруди та передавальнi пристрої.</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Транспортнi засоби.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Iнструменти, прилади, iнвентар (меблi).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Iншi основнi засоби.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Орендованi об'єкти єдиного/цiлiсного майнового комплексу (ЄМК/ЦМК), що є власнiстю фонду комунального майна та облiковуються на балансi Товариства  окремо,так, як це передбачено договором оренди ЄМК/ЦМК та  Положенням "про порядок бухгалтерського облiку окремих активiв та операцiй пiдприємств державного, комунального секторiв економiки i господарських органiзацiй, якi володiють та/або користуються  об'єктами державної, комунальної власностi" затвердженим наказом Мiнiстерства фiнансiв України №1213 вiд19 грудня 2006 року (далi - Положення). Вiдповiдно до умов договору та Положення, Товариство повинно здiйснювати iнвестицiї в основнi засоби, включаючи проведення будь-яких видiв ремонтiв та полiпшень, за рахунок амортизацiйних вiдрахувань, нарахованих на орендоване комунальне майно.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Амортизацiя основних засобiв нараховується прямолiнiйним методом виходячи iз термiну корисного використання.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Строк корисного використання (експлуатацiї) основних засобiв зазначається в окремо для кожного активу при зарахуваннi такого активу на Баланс.</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Строки корисного використання основних засобiв визначаються з урахуванням мiнiмально допустимих строкiв корисного використання основних засобiв, встановлених податковим законодавством.</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Для визначених класiв основних засобiв на пiдприємствi  використовуються такi строки корисної експлуатацiї:</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Будiвлi, споруди та передавальнi пристрої</w:t>
      </w:r>
      <w:r>
        <w:rPr>
          <w:rFonts w:ascii="Times New Roman CYR" w:hAnsi="Times New Roman CYR" w:cs="Times New Roman CYR"/>
          <w:sz w:val="24"/>
          <w:szCs w:val="24"/>
        </w:rPr>
        <w:tab/>
        <w:t>20-40</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Машини та обладнання </w:t>
      </w:r>
      <w:r>
        <w:rPr>
          <w:rFonts w:ascii="Times New Roman CYR" w:hAnsi="Times New Roman CYR" w:cs="Times New Roman CYR"/>
          <w:sz w:val="24"/>
          <w:szCs w:val="24"/>
        </w:rPr>
        <w:tab/>
        <w:t>5-10</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Транспортнi засоби </w:t>
      </w:r>
      <w:r>
        <w:rPr>
          <w:rFonts w:ascii="Times New Roman CYR" w:hAnsi="Times New Roman CYR" w:cs="Times New Roman CYR"/>
          <w:sz w:val="24"/>
          <w:szCs w:val="24"/>
        </w:rPr>
        <w:tab/>
        <w:t>5-10</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Iнструменти, прилади, iнвентар (меблi)</w:t>
      </w:r>
      <w:r>
        <w:rPr>
          <w:rFonts w:ascii="Times New Roman CYR" w:hAnsi="Times New Roman CYR" w:cs="Times New Roman CYR"/>
          <w:sz w:val="24"/>
          <w:szCs w:val="24"/>
        </w:rPr>
        <w:tab/>
        <w:t>4-6</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Iншi основнi засоби </w:t>
      </w:r>
      <w:r>
        <w:rPr>
          <w:rFonts w:ascii="Times New Roman CYR" w:hAnsi="Times New Roman CYR" w:cs="Times New Roman CYR"/>
          <w:sz w:val="24"/>
          <w:szCs w:val="24"/>
        </w:rPr>
        <w:tab/>
        <w:t>12</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Амортизацiя малоцiнних необоротних матерiальних активiв i бiблiотечних фондiв нараховується у першому мiсяцi використання об'єкта в розмiрi 100 вiдсоткiв його вартостi, яка амортизується.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Лiквiдацiйна вартiсть активу прирiвнюється до нуля в тому випадку, якщо очiкується використовувати об'єкт до закiнчення його фiзичного термiну служби i можливi в результатi лiквiдацiї вiдходи не мають вартостi.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Ремонт основних засобiв, що здiйснюється для пiдтримання об'єктiв у робочому станi та одержання первiсно визначеної суми майбутнiх економiчних вигод вiд його використання, вiдображається як витрати перiоду i облiковується на рахунках витрат дiяльностi  у повному обсязi.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Суми витрат, що пов'язанi з полiпшенням основних засобiв (модернiзацiя, добудова, дообладнання, реконструкцiя тощо), що призводить до збiльшення майбутнiх економiчних вигод, вiдноситься на збiльшення первiсної вартостi основних засобiв пiсля введення в експлуатацiю.</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Методологiчнi засади формування в бухгалтерському облiку iнформацiї про запаси i розкриття її у фiнансовiй звiтностi визначаються НП(С)БО № 9 "Запаси".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Придбанi запаси на баланс Товариства зараховуються за первiсною вартiстю, а виготовленi власними силами запаси вiдображаються в балансi згiдно з виробничою собiвартiстю.</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Первiсна вартiсть запасiв включає:</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всi витрати на придбання, що складаються з  цiни придбання, ввiзного мито та iнших податкiв (окрiм тих, що згодом вiдшкодовуються iз бюджету), а також витрат на транспортування, навантаження i розвантаження та iнших витрат, безпосередньо пов'язаних з придбанням.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Запаси оцiнюють за меншою з таких двох величин: первiсною вартiстю (вартiстю придбання/виробництва) або чистою вартiстю реалiзацiї.</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Методологiчнi засади формування в бухгалтерському облiку iнформацiї про дебiторську заборгованiсть та її розкриття у фiнансовiй звiтностi визначається НП(С)БО №10 "Дебiторська заборгованiсть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Методологiчнi засади формування в бухгалтерському облiку iнформацiї про зобов'язання та їх розкриття у фiнансовiй звiтностi визначається  НП(С)БО №11 "Зобов'язання".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Методологiчнi засади формування в бухгалтерському облiку iнформацiї про доходи Товариства та її розкриття у фiнансовiй звiтностi визначаються НП(С)БО № 15"Дохiд".</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Дохiд визнається пiд час збiльшення активу або зменшення зобов'язання, що зумовлює зростання власного капiталу (за винятком зростання капiталу за рахунок внескiв учасникiв пiдприємства), за умови, що оцiнка доходу може бути достовiрно визначена.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Дохiд, пов'язаний з наданням послуг, визнається виходячи зi ступеня завершеностi операцiй з надання послуг.</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Методологiчнi засади формування в бухгалтерському облiку iнформацiї про витрати пiдприємства та її розкриття у фiнансовiй звiтностi визначаються НП(С)БО № 16 "Витрати".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Витрати вiдображаються в бухгалтерському облiку одночасно зi зменшенням активiв або збiльшенням зобов'язань.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Витратами звiтного перiоду визнаються або зменшення активiв, або збiльшення зобов'язань, що призводить до зменшення власного капiталу пiдприємства (за винятком зменшення капiталу внаслiдок його вилучення або розподiлу власниками), за умови, що цi витрати можуть бути достовiрно оцiненi.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Облiкова полiтика Товариства може змiнюватися, тiльки якщо змiнюються статутнi вимоги, вимоги органу, який затверджує Положення (Стандарти) бухгалтерського облiку, або якщо змiни забезпечать достовiрне вiдображення подiй або операцiй у фiнансовiй звiтностi пiдприємства.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Опис обраної полiтики щодо фiнансування дiяльностi особи, достатнiсть робочого капiталу для поточних потреб, можливi шляхи покращення лiквiдностi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Фiнансування дiяльностi здiйснюється за рахунок власного капiталу. Робочого капiталу недостатньо для фiнансування дiяльностi емiтента. Для нормальної дiяльностi товариства необхiдно залучати кредитнi ресурси, фiнансовi iнвестицiї.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Дослiджень та розробок в звiтному перiодi не було.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щодо продуктiв (товарiв або послуг)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опис продуктiв (товарiв та/або послуг), якi виробляє/надає особа;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 видом дiяльностi, що займається емiтент є виробництво та постачання теплової енергiї i гарячої води на пiдприємства та в житловий сектор.</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обсяги виробництва (у натуральному та грошовому виразi);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натуральному - 426,6 Гкал</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грошовому - 1166625  тис.грн.</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середньореалiзацiйнi цiни продуктiв;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Середньореалiзацiйнi  цiни: 2204,35 грн/Гкал</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 загальна сума виручки;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866200 тис. грн.</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загальна сума експорту, частка експорту в загальному обсязi продажiв;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займається експортом.</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залежнiсть вiд сезонних змiн;</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Є залежнiсть вiд сезонних змiн, оскiльки потреба у тепловiй енергiї значно зростає в опалювальний перiод i зменшується в мiжсезоння.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7) основнi клiєнти (бiльше 5 % у загальнiй сумi виручки);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Населення - 55,4 %;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Бюджетнi установи - 39,3 %.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 ринки збуту та країни, в яких особою здiйснюється дiяльнiсть;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здiйснює свою дiяльнiсть виключно на територiї України.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9) канали збуту;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Укладенi iндивiдуальнi договори зi споживачами.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 основнi постачальники та види товарiв та/або послуг, якi вони постачають/надають особi, країни з яких здiйснюється постачання/надання товарiв/послуг:</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Основнi постачальники: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Найменування</w:t>
      </w:r>
      <w:r>
        <w:rPr>
          <w:rFonts w:ascii="Times New Roman CYR" w:hAnsi="Times New Roman CYR" w:cs="Times New Roman CYR"/>
          <w:sz w:val="24"/>
          <w:szCs w:val="24"/>
        </w:rPr>
        <w:tab/>
        <w:t>Код ЄДРПОУ</w:t>
      </w:r>
      <w:r>
        <w:rPr>
          <w:rFonts w:ascii="Times New Roman CYR" w:hAnsi="Times New Roman CYR" w:cs="Times New Roman CYR"/>
          <w:sz w:val="24"/>
          <w:szCs w:val="24"/>
        </w:rPr>
        <w:tab/>
        <w:t>Види товарiв та/або послуг</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 "ГК "Нафтогаз Трейдинг"</w:t>
      </w:r>
      <w:r>
        <w:rPr>
          <w:rFonts w:ascii="Times New Roman CYR" w:hAnsi="Times New Roman CYR" w:cs="Times New Roman CYR"/>
          <w:sz w:val="24"/>
          <w:szCs w:val="24"/>
        </w:rPr>
        <w:tab/>
        <w:t>42399676</w:t>
      </w:r>
      <w:r>
        <w:rPr>
          <w:rFonts w:ascii="Times New Roman CYR" w:hAnsi="Times New Roman CYR" w:cs="Times New Roman CYR"/>
          <w:sz w:val="24"/>
          <w:szCs w:val="24"/>
        </w:rPr>
        <w:tab/>
        <w:t>Природний газ</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 "Газорозподiльнi мережi України"</w:t>
      </w:r>
      <w:r>
        <w:rPr>
          <w:rFonts w:ascii="Times New Roman CYR" w:hAnsi="Times New Roman CYR" w:cs="Times New Roman CYR"/>
          <w:sz w:val="24"/>
          <w:szCs w:val="24"/>
        </w:rPr>
        <w:tab/>
        <w:t>44907200</w:t>
      </w:r>
      <w:r>
        <w:rPr>
          <w:rFonts w:ascii="Times New Roman CYR" w:hAnsi="Times New Roman CYR" w:cs="Times New Roman CYR"/>
          <w:sz w:val="24"/>
          <w:szCs w:val="24"/>
        </w:rPr>
        <w:tab/>
        <w:t>Розподiл природного газу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АТ "Чернiгiвобленерго"</w:t>
      </w:r>
      <w:r>
        <w:rPr>
          <w:rFonts w:ascii="Times New Roman CYR" w:hAnsi="Times New Roman CYR" w:cs="Times New Roman CYR"/>
          <w:sz w:val="24"/>
          <w:szCs w:val="24"/>
        </w:rPr>
        <w:tab/>
        <w:t>22815333</w:t>
      </w:r>
      <w:r>
        <w:rPr>
          <w:rFonts w:ascii="Times New Roman CYR" w:hAnsi="Times New Roman CYR" w:cs="Times New Roman CYR"/>
          <w:sz w:val="24"/>
          <w:szCs w:val="24"/>
        </w:rPr>
        <w:tab/>
        <w:t>Електрична енергiя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КП "Чернiгiвводоканал"</w:t>
      </w:r>
      <w:r>
        <w:rPr>
          <w:rFonts w:ascii="Times New Roman CYR" w:hAnsi="Times New Roman CYR" w:cs="Times New Roman CYR"/>
          <w:sz w:val="24"/>
          <w:szCs w:val="24"/>
        </w:rPr>
        <w:tab/>
        <w:t>03358222</w:t>
      </w:r>
      <w:r>
        <w:rPr>
          <w:rFonts w:ascii="Times New Roman CYR" w:hAnsi="Times New Roman CYR" w:cs="Times New Roman CYR"/>
          <w:sz w:val="24"/>
          <w:szCs w:val="24"/>
        </w:rPr>
        <w:tab/>
        <w:t>Вода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 "Компанiя "ГАЗЕНЕРГОПОСТАЧ"</w:t>
      </w:r>
      <w:r>
        <w:rPr>
          <w:rFonts w:ascii="Times New Roman CYR" w:hAnsi="Times New Roman CYR" w:cs="Times New Roman CYR"/>
          <w:sz w:val="24"/>
          <w:szCs w:val="24"/>
        </w:rPr>
        <w:tab/>
        <w:t>40879290</w:t>
      </w:r>
      <w:r>
        <w:rPr>
          <w:rFonts w:ascii="Times New Roman CYR" w:hAnsi="Times New Roman CYR" w:cs="Times New Roman CYR"/>
          <w:sz w:val="24"/>
          <w:szCs w:val="24"/>
        </w:rPr>
        <w:tab/>
        <w:t>Електрична енергiя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 особливостi стану розвитку галузi, в якiй здiйснює дiяльнiсть особа;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Характеризується необхiднiстю масштабної модернiзацiї, пiдвищенням енергоефективностi.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опис технологiй, якi використовує особа у своїй дiяльностi: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Особа здiйснює дiяльнiсть з виробництва, транспортування та постачання теплової енергiї, надання комунальних послуг iз застосуванням вiдповiдного технологiчного обладнання та iнженерної iнфраструктури.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процесi дiяльностi використовуються: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котельне обладнання (газовi та твердопаливнi), що забезпечує виробництво теплової енергiї;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тепловi мережi для транспортування теплової енергiї до споживачiв;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тепловi пункти (iндивiдуальнi та центральнi), через якi здiйснюється розподiл i регулювання теплової енергiї;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автоматизованi системи управлiння та диспетчеризацiї для контролю режимiв роботи обладнання;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 xml:space="preserve">засоби облiку теплової енергiї;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o</w:t>
      </w:r>
      <w:r>
        <w:rPr>
          <w:rFonts w:ascii="Times New Roman CYR" w:hAnsi="Times New Roman CYR" w:cs="Times New Roman CYR"/>
          <w:sz w:val="24"/>
          <w:szCs w:val="24"/>
        </w:rPr>
        <w:tab/>
        <w:t>резервнi джерела електроживлення (генератори, iнверторнi системи з акумуляторами) для забезпечення роботи об'єктiв у разi вiдсутностi електропостачання.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 мiсце особи на ринку, на якому вона здiйснює дiяльнiсть;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є суб'єктом природної монополiї на ринку транспортування теплової енергiї магiстральними та мiсцевими (розподiльчими) тепловими мережами. Здiйснює виробництво, транспортування та постачання теплової енергiї, надає комунальнi послуги з централiзованого опалення/послуги з постачання теплової енергiї, постачання гарячої води, фiзичним та юридичним особам частини м. Чернiгова та областi.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14) рiвень конкуренцiя в галузi, основнi конкуренти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Конкуренцiя вiдсутня.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перспективнi плани розвитку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Вiрогiднi перспективи подальшого розвитку Товариства в цiлому залежать вiд загальної економiчної та полiтичної ситуацiї в країнi, рiвня платоспроможностi як громадян так i пiдприємств, iнших зовнiшнiх чинникiв, тому на даний час керiвництво не має змоги робити довготривалi прогнози щодо подальшого розвитку Товариства.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7. У разi якщо, особа є фiнансовою установою, то вказується iнформацiя передбачена пунктами 1 (в тому числi перелiк банкiвських та фiнансових послуг, якi фактично надавались такою фiнансовою установою протягом звiтного перiоду), 4, 11-15.</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є фiнансовою установою.</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 Опис ризикiв, як притаманнi дiяльностi особи, пiдходи до управлiння ризиками, заходи особи щодо зменшення впливу ризикiв.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Функцiї управлiння ризиками в Товариствi виконує управлiнський персонал. В зв'язку з непередбачуванiстю та неефективнiстю фiнансового ринку України, загальна програма управлiнського персоналу щодо управлiння фiнансовими ризиками зосереджена i спрямована на мiнiмiзацiю їх потенцiйного негативного впливу на фiнансовий стан Товариства.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Суттєвий вплив на дiяльнiсть Товариства можуть мати такi ризики як:</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нестабiльнiсть та суперечливiсть законодавства;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непередбаченi дiї державних органiв;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нестабiльнiсть економiчної (фiнансової, податкової, зовнiшньоекономiчної, iнш.) полiтики;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непередбачувана змiна змiна цiни на газ з неможливiстю одночасного коригування тарифiв в зв'язку зi збiльшенням витрат.</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9.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Намiтити та реалiзувати заходи з пiдвищення ефективностi господарської дiяльностi акцiонерного товариства, передусiм за рахунок використання внутрiшнiх резервiв по зменшенню витрат на виробництво.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Протягом попереднiх рокiв (2021-2025) вартiсть придбаних основних засобiв -  581 071  тис. грн., вибуття (передача, продаж, списання) -  128 180 тис. грн. В 2025 роцi придбано основнi засоби первiсною вартiстю 432 654 тис. грн., вибуло за 2025 рiк первiсною вартiстю 31 978  тис. грн.</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Значнi iнвестицiї та придбання, пов'язанi з його господарською дiяльнiстю, не плануються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Придбанi (створенi) основнi засоби зараховуються на баланс за первiсною вартiстю.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Первiсна вартiсть основних засобiв збiльшується на суму витрат, пов'язаних з полiпшенням об'єкта (модернiзацiя, модифiкацiя, добудова, дообладнання, реконструкцiя тощо), що призводить до збiльшення майбутнiх економiчних вигод, первiсно очiкуваних вiд використання об'єкта.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Первiсна вартiсть основних засобiв на 31.12.2024 - 1 313 386 тис. грн., на 31.12.2025 - 1 714 062  тис. грн., залишкова вартiсть - 549 460 тис. грн. та 549 460 тис. грн. вiдповiдно. Ступiнь зносу 68 %. Ступiнь використання 96,1 %.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Основнi засоби використовуються за призначенням. Обмеження на використання основних засобiв вiдсутнi.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в своїй дiяльностi використовує об'єкти (ЄМК/ЦМК), що є власнiстю фонду комунального майна, але облiковуються на балансi Товариства так, як це передбачено договором оренди ЄМК/ЦМК, Законом України &lt;Про оренду державного та комунального майна&gt; №2269-XII вiд 10.04.1992 р. та  Положенням &lt;про порядок бухгалтерського облiку окремих активiв та операцiй пiдприємств державного, комунального секторiв економiки i господарських органiзацiй, якi володiють та/або користуються  об'єктами державної, комунальної власностi&gt; затвердженим наказом Мiнiстерства фiнансiв України №1213 вiд 19 грудня 2006 року.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Спосiб утримання активiв полягає в тому, що активи пiдприємства щорiчно iнвентаризуються, їх вартiсть вiдображається в балансi пiдприємства. Основнi засоби знаходяться за мiсцезнаходженням пiдприємства, на територiї м.Чернiгова та 16 районних експлуатацiйних дiльниць у Чернiгiвськiй областi.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за потреби iнвестує в основнi засоби з метою вдосконалення виробничого процесу.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Плани капiтального будiвництва вiдсутнi. Екологiчнi питання на використання активiв пiдприємства суттєвого впливу не мають.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Проблеми, якi впливають на дiяльнiсть особи, в тому числi ступiнь залежностi вiд законодавчих або економiчних обмежень.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Суттєво впливають: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нестабiльнiсть та суперечливiсть законодавства;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дефiцит обiгових коштiв;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накопичення дебiторської заборгованостi, через вiдсутнiсть коштiв у населення, невпорядкованiсть чинного законодавства України.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накопичення кредиторської заборгованостi через неможливiсть застосування економiчно-обгрунтованих тарифiв;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зношенiсть, застарiлiсть, як технiчно так i морально теплових мереж та обладнання;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об'єктивної методики формування та встановлення економiчно-обгрунтованих тарифiв з урахуванням поточних змiн зростань цiн складових тарифiв;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неможливiсть застосовувати економiчно-обгрунтованих тарифiв;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Укладених, але ще не виконаних договорiв (контрактiв) на кiнець звiтного перiоду немає.</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14.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Середньооблiкова чисельнiсть штатних працiвникiв особи - 859,</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середня чисельнiсть позаштатних працiвникiв - 5,</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середня чисельнiсть осiб, якi працюють за сумiсництвом - 14,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чисельнiсть працiвникiв, якi працюють на умовах неповного робочого часу (дня, тижня) - 352,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розмiр фонду оплати працi - 212863,2 тис. грн.,</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факти змiни розмiру фонду оплати працi, його збiльшення вiдносно попереднього року - збiльшення коефiцiенту Галузевої Угоди.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Будь-якi пропозицiї щодо реорганiзацiї з боку третiх осiб, що мали мiсце протягом звiтного перiоду, умови та результати цих пропозицiй.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Будь-якi пропозицiї щодо реорганiзацiї з боку третiх осiб не надходили.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 Iнша iнформацiя, яка може бути iстотною для оцiнки стейкхолдерами фiнансового стану та результатiв дiяльностi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Iнша iнформацiя, яка може бути iстотною для оцiнки стейкхолдерами фiнансового стану та результатiв дiяльностi Товариства вiдсутня.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65"/>
        <w:gridCol w:w="3000"/>
        <w:gridCol w:w="1200"/>
      </w:tblGrid>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закінчення строку дії ліцензії (за наявності)</w:t>
            </w:r>
          </w:p>
        </w:tc>
      </w:tr>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r>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 виробництва теплової енергiї на теплоелектроцентралях, когенерацiйних установках та установках з використанням нетрадицiйних або поновлювальних джерел енергiї (безстрокова)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серiя АВ № 617877</w:t>
            </w:r>
          </w:p>
        </w:tc>
        <w:tc>
          <w:tcPr>
            <w:tcW w:w="1065"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24.05.2012</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Нацiональна комiсiя, що здiйснює державне регулювання у сферi енергетики</w:t>
            </w:r>
          </w:p>
        </w:tc>
        <w:tc>
          <w:tcPr>
            <w:tcW w:w="12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 виробництва теплової енергiї (крiм дiяльностi з в-ва теплової енергiї на ТЕЦ, ТЕС, АЕС i когенерацiйних установках та установках з використанням нетрадиц. або поновлювальних джерел енергiї) (безстрокова)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серiя АВ № 597469</w:t>
            </w:r>
          </w:p>
        </w:tc>
        <w:tc>
          <w:tcPr>
            <w:tcW w:w="1065"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22.06.2012</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Нацiональна комiсiя, що здiйснює державне регулювання у сферi комунальних послуг</w:t>
            </w:r>
          </w:p>
        </w:tc>
        <w:tc>
          <w:tcPr>
            <w:tcW w:w="12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 транспортування теплової енергiї магiстральними та мiсцевими (розподiльчими) тепловими мережами (безстрокова)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Серiя АВ № 597470</w:t>
            </w:r>
          </w:p>
        </w:tc>
        <w:tc>
          <w:tcPr>
            <w:tcW w:w="1065"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22.06.2012</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Нацiональна комiсiя, що здiйснює державне регулювання у сферi комунальних послуг</w:t>
            </w:r>
          </w:p>
        </w:tc>
        <w:tc>
          <w:tcPr>
            <w:tcW w:w="12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 постачання теплової енергiї (безстрокова)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Серiя АВ № 597471</w:t>
            </w:r>
          </w:p>
        </w:tc>
        <w:tc>
          <w:tcPr>
            <w:tcW w:w="1065"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22.06.2012</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Нацiональна комiсiя, що здiйснює державне регулювання у сферi комунальних послуг</w:t>
            </w:r>
          </w:p>
        </w:tc>
        <w:tc>
          <w:tcPr>
            <w:tcW w:w="12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Надання освiтнiх послуг навчальними закладами, пов'язаних з одержанням проф.освiти на рiвнi квал.вимог до проф-тех навчання, пiдвищення квалiфiкацiї, перепiдготовки (безстрокова)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Серiя АД № 073333</w:t>
            </w:r>
          </w:p>
        </w:tc>
        <w:tc>
          <w:tcPr>
            <w:tcW w:w="1065"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08.01.2013</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Мiнiстерство освiти i науки, молодi та спорту України</w:t>
            </w:r>
          </w:p>
        </w:tc>
        <w:tc>
          <w:tcPr>
            <w:tcW w:w="12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право зберiгання пального на 4000л (виключно для потреб власного споживання чи промислової переробки)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25260414202300177</w:t>
            </w:r>
          </w:p>
        </w:tc>
        <w:tc>
          <w:tcPr>
            <w:tcW w:w="1065"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19.09.2023</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Головне управлiння ДПС у Чернiгiвськiй областi</w:t>
            </w:r>
          </w:p>
        </w:tc>
        <w:tc>
          <w:tcPr>
            <w:tcW w:w="12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19.09.2028</w:t>
            </w:r>
          </w:p>
        </w:tc>
      </w:tr>
      <w:tr w:rsidR="0058181D" w:rsidRPr="0058181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 виробництва теплової енергiї (на когенерацiйнi установки)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1582</w:t>
            </w:r>
          </w:p>
        </w:tc>
        <w:tc>
          <w:tcPr>
            <w:tcW w:w="1065"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07.10.2025</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Нацiональна комiсiя, що здiйснює державне регулювання у сферах енергетики та комунальних послуг</w:t>
            </w:r>
          </w:p>
        </w:tc>
        <w:tc>
          <w:tcPr>
            <w:tcW w:w="12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58181D" w:rsidRPr="0058181D">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Основні засоби, усього, тис. грн</w:t>
            </w:r>
          </w:p>
        </w:tc>
      </w:tr>
      <w:tr w:rsidR="0058181D" w:rsidRPr="0058181D">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кінець періоду</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116 671</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508 020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47 169</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41 440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163 840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549 460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5 837</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14 275</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29 473</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25 528</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35 310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39 803</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85 427</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490 479</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17 694</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15 911</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103 121</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506 390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22 881</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810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22 881</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810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2 526</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2 456</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2 528</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2 457</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116 671</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508 020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47 169</w:t>
            </w:r>
          </w:p>
        </w:tc>
        <w:tc>
          <w:tcPr>
            <w:tcW w:w="10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41 440</w:t>
            </w:r>
          </w:p>
        </w:tc>
        <w:tc>
          <w:tcPr>
            <w:tcW w:w="12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163 840</w:t>
            </w:r>
          </w:p>
        </w:tc>
        <w:tc>
          <w:tcPr>
            <w:tcW w:w="1082"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549 460</w:t>
            </w:r>
          </w:p>
        </w:tc>
      </w:tr>
      <w:tr w:rsidR="0058181D" w:rsidRPr="0058181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Термiни та умови користування основними засобами (за основними групами):</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будiвлi та споруди - 20-40 рокiв;</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машини та обладнання - 5-10 рокiв;</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транспортнi засоби - 5-10 рокiв;</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Iнструменти, прилади, iнвентар (меблi) - 4-6 рокiв.</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Iншi основнi засоби  12 рокiв.</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Первiсна вартiсть основних засобiв - 1 714 062 тис.грн.</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Сума нарахованого зносу - 1 164 602 тис. грн.</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Ступiнь їх зносу - 68%</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Ступiнь їх використання - 96,1%.</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Суттєвих змiн у вартостi основних засобiв не було.</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Станом на 31 грудня 2025 року обмеження щодо використання майна вiдсутнi</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58181D" w:rsidRPr="0058181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звітний період</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попередній період</w:t>
            </w:r>
          </w:p>
        </w:tc>
      </w:tr>
      <w:tr w:rsidR="0058181D" w:rsidRPr="0058181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-1 572 617</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-1 273 635</w:t>
            </w:r>
          </w:p>
        </w:tc>
      </w:tr>
      <w:tr w:rsidR="0058181D" w:rsidRPr="0058181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758</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758</w:t>
            </w:r>
          </w:p>
        </w:tc>
      </w:tr>
      <w:tr w:rsidR="0058181D" w:rsidRPr="0058181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758</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758</w:t>
            </w:r>
          </w:p>
        </w:tc>
      </w:tr>
      <w:tr w:rsidR="0058181D" w:rsidRPr="0058181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-207 469</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123,47</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Висновок</w:t>
            </w:r>
          </w:p>
        </w:tc>
        <w:tc>
          <w:tcPr>
            <w:tcW w:w="8740" w:type="dxa"/>
            <w:gridSpan w:val="3"/>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Вартiсть чистих активiв Товариства станом на 31.12.2025 року складала вiд'ємне значення: -572617тис.грн. Вартiсть чистих активiв акцiонерного товариства визначається як рiзниця мiж вартiстю активiв та вартiстю зобов'язань. Розрахунок вартостi чистих активiв Товариства проведений у вiдповiдностi до Методичних рекомендацiй щодо визначення вартостi чистих активiв акцiонерних товариств, затверджених рiшенням Державної комiсiї з цiнних паперiв та фондового ринку вiд 17.11.04р. № 485. Станом на 31.12.2024 та станом на 31.12.2025 умова перевищення вартостi чистих активiв над розмiром статутного капiталу Товариством не дотримується. </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58181D" w:rsidRPr="0058181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погашення</w:t>
            </w:r>
          </w:p>
        </w:tc>
      </w:tr>
      <w:tr w:rsidR="0058181D" w:rsidRPr="0058181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17 510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Екологiчний податок</w:t>
            </w:r>
          </w:p>
        </w:tc>
        <w:tc>
          <w:tcPr>
            <w:tcW w:w="14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1 672</w:t>
            </w:r>
          </w:p>
        </w:tc>
        <w:tc>
          <w:tcPr>
            <w:tcW w:w="19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Земельний податок</w:t>
            </w:r>
          </w:p>
        </w:tc>
        <w:tc>
          <w:tcPr>
            <w:tcW w:w="14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486</w:t>
            </w:r>
          </w:p>
        </w:tc>
        <w:tc>
          <w:tcPr>
            <w:tcW w:w="19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2 909 564</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Поточна кредиторська заборгованiсть за товари, роботи, послуги</w:t>
            </w:r>
          </w:p>
        </w:tc>
        <w:tc>
          <w:tcPr>
            <w:tcW w:w="14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2 356 990</w:t>
            </w:r>
          </w:p>
        </w:tc>
        <w:tc>
          <w:tcPr>
            <w:tcW w:w="19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Поточна кредиторська заборгованiсть за розрахунками зi страхування</w:t>
            </w:r>
          </w:p>
        </w:tc>
        <w:tc>
          <w:tcPr>
            <w:tcW w:w="14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2 070</w:t>
            </w:r>
          </w:p>
        </w:tc>
        <w:tc>
          <w:tcPr>
            <w:tcW w:w="19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Поточна кредиторська заборгованiсть за розрахунками з оплати працi</w:t>
            </w:r>
          </w:p>
        </w:tc>
        <w:tc>
          <w:tcPr>
            <w:tcW w:w="14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8 240</w:t>
            </w:r>
          </w:p>
        </w:tc>
        <w:tc>
          <w:tcPr>
            <w:tcW w:w="19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Поточна кредиторська заборгованiсть за одержаними авансами</w:t>
            </w:r>
          </w:p>
        </w:tc>
        <w:tc>
          <w:tcPr>
            <w:tcW w:w="14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15 167</w:t>
            </w:r>
          </w:p>
        </w:tc>
        <w:tc>
          <w:tcPr>
            <w:tcW w:w="19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Поточна кредиторська заборгованiсть за розрахунками з учасниками</w:t>
            </w:r>
          </w:p>
        </w:tc>
        <w:tc>
          <w:tcPr>
            <w:tcW w:w="14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90</w:t>
            </w:r>
          </w:p>
        </w:tc>
        <w:tc>
          <w:tcPr>
            <w:tcW w:w="19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Iншi поточнi зобов'язання</w:t>
            </w:r>
          </w:p>
        </w:tc>
        <w:tc>
          <w:tcPr>
            <w:tcW w:w="14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49 674</w:t>
            </w:r>
          </w:p>
        </w:tc>
        <w:tc>
          <w:tcPr>
            <w:tcW w:w="194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2 927 164</w:t>
            </w:r>
          </w:p>
        </w:tc>
        <w:tc>
          <w:tcPr>
            <w:tcW w:w="19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sectPr w:rsidR="0058181D">
          <w:pgSz w:w="12240" w:h="15840"/>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обсяги виробництва та реалізації основних видів продукції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500"/>
        <w:gridCol w:w="2000"/>
        <w:gridCol w:w="2000"/>
        <w:gridCol w:w="2200"/>
        <w:gridCol w:w="2000"/>
        <w:gridCol w:w="2000"/>
        <w:gridCol w:w="2200"/>
      </w:tblGrid>
      <w:tr w:rsidR="0058181D" w:rsidRPr="0058181D">
        <w:tblPrEx>
          <w:tblCellMar>
            <w:top w:w="0" w:type="dxa"/>
            <w:bottom w:w="0" w:type="dxa"/>
          </w:tblCellMar>
        </w:tblPrEx>
        <w:trPr>
          <w:trHeight w:val="200"/>
        </w:trPr>
        <w:tc>
          <w:tcPr>
            <w:tcW w:w="500" w:type="dxa"/>
            <w:vMerge w:val="restart"/>
            <w:tcBorders>
              <w:top w:val="single" w:sz="6" w:space="0" w:color="auto"/>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Основний вид продукції</w:t>
            </w:r>
          </w:p>
        </w:tc>
        <w:tc>
          <w:tcPr>
            <w:tcW w:w="6200" w:type="dxa"/>
            <w:gridSpan w:val="3"/>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Обсяг виробництва</w:t>
            </w:r>
          </w:p>
        </w:tc>
        <w:tc>
          <w:tcPr>
            <w:tcW w:w="6200" w:type="dxa"/>
            <w:gridSpan w:val="3"/>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Обсяг реалізованої продукції</w:t>
            </w:r>
          </w:p>
        </w:tc>
      </w:tr>
      <w:tr w:rsidR="0058181D" w:rsidRPr="0058181D">
        <w:tblPrEx>
          <w:tblCellMar>
            <w:top w:w="0" w:type="dxa"/>
            <w:bottom w:w="0" w:type="dxa"/>
          </w:tblCellMar>
        </w:tblPrEx>
        <w:trPr>
          <w:trHeight w:val="200"/>
        </w:trPr>
        <w:tc>
          <w:tcPr>
            <w:tcW w:w="500" w:type="dxa"/>
            <w:vMerge/>
            <w:tcBorders>
              <w:top w:val="nil"/>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 натуральній формі (фізична одиниця виміру)</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 грошовій формі, тис.грн</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 відсотках до всієї виробленої продукції</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 натуральній формі (фізична одиниця виміру)</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у грошовій формі, тис.грн</w:t>
            </w:r>
          </w:p>
        </w:tc>
        <w:tc>
          <w:tcPr>
            <w:tcW w:w="22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 відсотках до всієї реалізованої продукції</w:t>
            </w:r>
          </w:p>
        </w:tc>
      </w:tr>
      <w:tr w:rsidR="0058181D" w:rsidRPr="0058181D">
        <w:tblPrEx>
          <w:tblCellMar>
            <w:top w:w="0" w:type="dxa"/>
            <w:left w:w="28" w:type="dxa"/>
            <w:bottom w:w="0" w:type="dxa"/>
            <w:right w:w="28" w:type="dxa"/>
          </w:tblCellMar>
        </w:tblPrEx>
        <w:trPr>
          <w:trHeight w:val="3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c>
          <w:tcPr>
            <w:tcW w:w="2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w:t>
            </w:r>
          </w:p>
        </w:tc>
        <w:tc>
          <w:tcPr>
            <w:tcW w:w="22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w:t>
            </w:r>
          </w:p>
        </w:tc>
      </w:tr>
      <w:tr w:rsidR="0058181D" w:rsidRPr="0058181D">
        <w:tblPrEx>
          <w:tblCellMar>
            <w:top w:w="0" w:type="dxa"/>
            <w:left w:w="28" w:type="dxa"/>
            <w:bottom w:w="0" w:type="dxa"/>
            <w:right w:w="28" w:type="dxa"/>
          </w:tblCellMar>
        </w:tblPrEx>
        <w:trPr>
          <w:trHeight w:val="300"/>
        </w:trPr>
        <w:tc>
          <w:tcPr>
            <w:tcW w:w="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Теплова енергiя</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426,6 Гкал</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1166625</w:t>
            </w:r>
          </w:p>
        </w:tc>
        <w:tc>
          <w:tcPr>
            <w:tcW w:w="2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387,6 Гкал</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854405</w:t>
            </w:r>
          </w:p>
        </w:tc>
        <w:tc>
          <w:tcPr>
            <w:tcW w:w="22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90,9</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sectPr w:rsidR="0058181D">
          <w:pgSz w:w="16838" w:h="11906" w:orient="landscape"/>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собівартість реалізованої продукції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620"/>
        <w:gridCol w:w="3300"/>
        <w:gridCol w:w="5900"/>
      </w:tblGrid>
      <w:tr w:rsidR="0058181D" w:rsidRPr="0058181D">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3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Склад витрат</w:t>
            </w:r>
          </w:p>
        </w:tc>
        <w:tc>
          <w:tcPr>
            <w:tcW w:w="59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Відсоток від загальної собівартості реалізованої продукції (у відсотках)</w:t>
            </w:r>
          </w:p>
        </w:tc>
      </w:tr>
      <w:tr w:rsidR="0058181D" w:rsidRPr="0058181D">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3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59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r>
      <w:tr w:rsidR="0058181D" w:rsidRPr="0058181D">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3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Матерiальнi затрати</w:t>
            </w:r>
          </w:p>
        </w:tc>
        <w:tc>
          <w:tcPr>
            <w:tcW w:w="5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67,7</w:t>
            </w:r>
          </w:p>
        </w:tc>
      </w:tr>
      <w:tr w:rsidR="0058181D" w:rsidRPr="0058181D">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3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Витрати на оплату працi</w:t>
            </w:r>
          </w:p>
        </w:tc>
        <w:tc>
          <w:tcPr>
            <w:tcW w:w="5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16,6</w:t>
            </w:r>
          </w:p>
        </w:tc>
      </w:tr>
      <w:tr w:rsidR="0058181D" w:rsidRPr="0058181D">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3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Вiдрахування на соцiальнi заходи</w:t>
            </w:r>
          </w:p>
        </w:tc>
        <w:tc>
          <w:tcPr>
            <w:tcW w:w="5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3,5</w:t>
            </w:r>
          </w:p>
        </w:tc>
      </w:tr>
      <w:tr w:rsidR="0058181D" w:rsidRPr="0058181D">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c>
          <w:tcPr>
            <w:tcW w:w="3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Амортизацiя</w:t>
            </w:r>
          </w:p>
        </w:tc>
        <w:tc>
          <w:tcPr>
            <w:tcW w:w="5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1,9</w:t>
            </w:r>
          </w:p>
        </w:tc>
      </w:tr>
      <w:tr w:rsidR="0058181D" w:rsidRPr="0058181D">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3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Iншi операцiйнi витрати</w:t>
            </w:r>
          </w:p>
        </w:tc>
        <w:tc>
          <w:tcPr>
            <w:tcW w:w="5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10,3</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Публiчне акцiонерне товариство  "Нацiональний депозитарiй  України"</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Акціонерне товариство</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30370711</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04107, Україна, м. Київ, вул. Якубенкiвська, 7-г</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(044) 363-04-00</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63.11 - Оброблення даних, розмiщення iнформацiї на веб-вузлах i пов'язана з ними дiяльнiсть</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18.20 - Тиражування звуко-, вiдеозаписiв i програмного забезпечення</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62.01 - Комп'ютерне програмування</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Надає депозитарнi послуги з обслуговування випуску цiнних паперiв Товариства. Дiє без лiцензiї на пiдставi Правил Центрального депозитарiю України</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Державна установа "Агентство з розвитку iнфраструктури фондового ринку України"</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Державна організація (установа, заклад)</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21676262</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03150, Україна, м. Київ, вул. Антоновича, 51, оф. 1206</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(044) 287-56-70</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63.11 - Оброблення даних, розмiщення iнформацiї на веб-вузлах i пов'язана з ними дiяльнiсть</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84.13 - Регулювання та сприяння ефективному веденню економiчної дiяльностi</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62.02 - Консультування з питань iнформатизацiї</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Дiє без лiцензiї. Надання послуг з оприлюднення та подання до НКЦПФР регульованої iнформацiї</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вiдповiдальнiстю "IК "Добрий капiтал"</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відповідальністю</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33948171</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01001, Україна, м. Київ, вул. Богдана Хмельницького, будинок 32, офiс 49</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АВ № 498032</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Державна комiсiя з цiнних паперiв та фондового ринку</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24.11.2009</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(044) 284-04-20</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66.12 - Посередництво за договорами по цiнних паперах або товарах</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66.11 - Управлiння фiнансовими ринками</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66.19 - Iнша допомiжна дiяльнiсть у сферi фiнансових послуг, крiм страхування та пенсiйного забезпечення</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Здiйснює професiйну депозитарну дiяльнiсть депозитарної установи, забезпечує вiдкриття та ведення рахункiв у цiнних паперах власникiв вiдповiдно до укладених договорiв.</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вiдповiдальнiстю "Кроу Ерфольг Україна"</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відповідальністю</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36694398</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01133, Україна, м. Київ, вул. Л. Первомайського,б.7</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+380504486128</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69.20 - Дiяльнiсть у сферi бухгалтерського облiку й аудиту; консультування з питань оподаткування</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69.10 - Дiяльнiсть у сферi права</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70.22 - Консультування з питань комерцiйної дiяльностi й керування</w:t>
            </w:r>
          </w:p>
        </w:tc>
      </w:tr>
      <w:tr w:rsidR="0058181D" w:rsidRPr="0058181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Послуги з проведення обов'язкового аудиту фiнансової звiтностi</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sectPr w:rsidR="0058181D">
          <w:pgSz w:w="12240" w:h="15840"/>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5. Участь в інших юридичних особах</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000"/>
        <w:gridCol w:w="3000"/>
        <w:gridCol w:w="2300"/>
        <w:gridCol w:w="1200"/>
        <w:gridCol w:w="1200"/>
        <w:gridCol w:w="1200"/>
        <w:gridCol w:w="3000"/>
      </w:tblGrid>
      <w:tr w:rsidR="0058181D" w:rsidRPr="0058181D">
        <w:tblPrEx>
          <w:tblCellMar>
            <w:top w:w="0" w:type="dxa"/>
            <w:bottom w:w="0" w:type="dxa"/>
          </w:tblCellMar>
        </w:tblPrEx>
        <w:trPr>
          <w:trHeight w:val="200"/>
        </w:trPr>
        <w:tc>
          <w:tcPr>
            <w:tcW w:w="500" w:type="dxa"/>
            <w:vMerge w:val="restart"/>
            <w:tcBorders>
              <w:top w:val="single" w:sz="6" w:space="0" w:color="auto"/>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30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Повне найменування в т.ч. її організаційно-правова форма</w:t>
            </w:r>
          </w:p>
        </w:tc>
        <w:tc>
          <w:tcPr>
            <w:tcW w:w="30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Місцезнаходження </w:t>
            </w:r>
          </w:p>
        </w:tc>
        <w:tc>
          <w:tcPr>
            <w:tcW w:w="23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Ідентифікаційний код юридичної особи/ номер/код з судового/торговельного/банківського реєстру</w:t>
            </w:r>
          </w:p>
        </w:tc>
        <w:tc>
          <w:tcPr>
            <w:tcW w:w="3600" w:type="dxa"/>
            <w:gridSpan w:val="3"/>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Розмір участі особи, %</w:t>
            </w:r>
          </w:p>
        </w:tc>
        <w:tc>
          <w:tcPr>
            <w:tcW w:w="3000" w:type="dxa"/>
            <w:vMerge w:val="restart"/>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Активи, які було передано особі</w:t>
            </w:r>
          </w:p>
        </w:tc>
      </w:tr>
      <w:tr w:rsidR="0058181D" w:rsidRPr="0058181D">
        <w:tblPrEx>
          <w:tblCellMar>
            <w:top w:w="0" w:type="dxa"/>
            <w:bottom w:w="0" w:type="dxa"/>
          </w:tblCellMar>
        </w:tblPrEx>
        <w:trPr>
          <w:trHeight w:val="200"/>
        </w:trPr>
        <w:tc>
          <w:tcPr>
            <w:tcW w:w="500" w:type="dxa"/>
            <w:vMerge/>
            <w:tcBorders>
              <w:top w:val="nil"/>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30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30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3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пряма</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опосередкована</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сукупна</w:t>
            </w:r>
          </w:p>
        </w:tc>
        <w:tc>
          <w:tcPr>
            <w:tcW w:w="3000" w:type="dxa"/>
            <w:vMerge/>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3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3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23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w:t>
            </w:r>
          </w:p>
        </w:tc>
      </w:tr>
      <w:tr w:rsidR="0058181D" w:rsidRPr="0058181D">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ВIДПОВIДАЛЬНIСТЮ "СПЕЦЕНЕРГОТРАНС"</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відповідальністю</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ab/>
              <w:t>Україна, 14000, Чернiгiвська обл., мiсто Чернiгiв, вул.Ремiснича, будинок 55Б</w:t>
            </w:r>
          </w:p>
        </w:tc>
        <w:tc>
          <w:tcPr>
            <w:tcW w:w="2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ab/>
              <w:t>4505433</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Оборотнi та необоротнi активи</w:t>
            </w:r>
          </w:p>
        </w:tc>
      </w:tr>
      <w:tr w:rsidR="0058181D" w:rsidRPr="0058181D">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ВIДПОВIДАЛЬНIСТЮ "НIЖИНТЕПЛОМЕРЕЖI"</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відповідальністю</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Україна, 16600, Чернiгiвська обл., мiсто Нiжин, вул. Глiбова, будинок 1</w:t>
            </w:r>
          </w:p>
        </w:tc>
        <w:tc>
          <w:tcPr>
            <w:tcW w:w="2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ab/>
              <w:t>3275066</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60</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60</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грошовi кошти</w:t>
            </w:r>
          </w:p>
        </w:tc>
      </w:tr>
      <w:tr w:rsidR="0058181D" w:rsidRPr="0058181D">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ВIДПОВIДАЛЬНIСТЮ "ЧЕРНIГIВСЬКА ГЕНЕРУЮЧА КОМПАНIЯ"</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Товариство з обмеженою відповідальністю</w:t>
            </w:r>
          </w:p>
        </w:tc>
        <w:tc>
          <w:tcPr>
            <w:tcW w:w="3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Україна, 14000, Чернiгiвська обл., мiсто Чернiгiв, вул.Iнструментальна, будинок 14-а</w:t>
            </w:r>
          </w:p>
        </w:tc>
        <w:tc>
          <w:tcPr>
            <w:tcW w:w="2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41949054</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24,95</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24,95</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грошовi кошти</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II. Інформація щодо капіталу та цінних паперів</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000"/>
        <w:gridCol w:w="2000"/>
        <w:gridCol w:w="2000"/>
        <w:gridCol w:w="1900"/>
        <w:gridCol w:w="2000"/>
        <w:gridCol w:w="2000"/>
        <w:gridCol w:w="3000"/>
      </w:tblGrid>
      <w:tr w:rsidR="0058181D" w:rsidRPr="0058181D">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Наявність публічної пропозиції та/або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Облік часток особи в обліковій системі часток</w:t>
            </w:r>
          </w:p>
        </w:tc>
      </w:tr>
      <w:tr w:rsidR="0058181D" w:rsidRPr="0058181D">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c>
          <w:tcPr>
            <w:tcW w:w="1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w:t>
            </w:r>
          </w:p>
        </w:tc>
      </w:tr>
      <w:tr w:rsidR="0058181D" w:rsidRPr="0058181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Акцiя проста iменна</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02/24/1/09</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3 030 120</w:t>
            </w:r>
          </w:p>
        </w:tc>
        <w:tc>
          <w:tcPr>
            <w:tcW w:w="1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0,25</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Кожною простою акцiєю Товариства її власнику - Акцiонеру надається однакова сукупнiсть прав, включаючи права на: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1) участь в управлiннi Товариством;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2) отримання дивiдендiв;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отримання iнформацiї про господарську дiяльнiсть Товариства;</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 отримання у разi лiквiдацiї Товариства частини його майна або вартостi частини майна;</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 вiльне розпорядження акцiями, що йому належать;</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1) дотримуватися Статуту, iнших внутрiшнiх документiв Товариства;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2) виконувати рiшення Загальних зборiв та iнших органiв Товариства;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виконувати свої зобов'язання перед Товариством, у т. ч. пов'язанi з майновою участю;</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4) оплачувати акцiї у розмiрi, в порядку та засобами, що передбаченi Статутом; </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 не розголошувати комерцiйну таємницю та конфiденцiйну iнформацiю про Товариство;</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 своєчасно повiдомляти депозитарну установу про змiну адреси та iнших даних, якi визначенi чинним законодавством для iдентифiкацiї акцiонерiв.</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Виконувати iншi обов'язки та мати iншi права, якщо це передбачено чинним законодавством України.</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немає</w:t>
            </w:r>
          </w:p>
        </w:tc>
        <w:tc>
          <w:tcPr>
            <w:tcW w:w="3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3. Цінні папери</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58181D" w:rsidRPr="0058181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Частка у статутному капіталі (у відсотках)</w:t>
            </w:r>
          </w:p>
        </w:tc>
      </w:tr>
      <w:tr w:rsidR="0058181D" w:rsidRPr="0058181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w:t>
            </w:r>
          </w:p>
        </w:tc>
      </w:tr>
      <w:tr w:rsidR="0058181D" w:rsidRPr="0058181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08.09.1995</w:t>
            </w:r>
          </w:p>
        </w:tc>
        <w:tc>
          <w:tcPr>
            <w:tcW w:w="13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27/1/95</w:t>
            </w:r>
          </w:p>
        </w:tc>
        <w:tc>
          <w:tcPr>
            <w:tcW w:w="2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ДКЦПФР</w:t>
            </w:r>
          </w:p>
        </w:tc>
        <w:tc>
          <w:tcPr>
            <w:tcW w:w="17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c>
          <w:tcPr>
            <w:tcW w:w="16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Акція проста 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Не визначено</w:t>
            </w:r>
          </w:p>
        </w:tc>
        <w:tc>
          <w:tcPr>
            <w:tcW w:w="1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3 030 120</w:t>
            </w:r>
          </w:p>
        </w:tc>
        <w:tc>
          <w:tcPr>
            <w:tcW w:w="1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757 530</w:t>
            </w:r>
          </w:p>
        </w:tc>
        <w:tc>
          <w:tcPr>
            <w:tcW w:w="17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w:t>
            </w:r>
          </w:p>
        </w:tc>
      </w:tr>
      <w:tr w:rsidR="0058181D" w:rsidRPr="0058181D">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На внутрiшнiх та зовнiшнiх ринках торгiвля цiнними паперами Товариства не здiйснювалась. Фактiв включення/виключення цiнних паперiв емiтента до/з бiржового реєстру фондової бiржi не було. Призначення мiжнародного iдентифiкацiйного номеру для акцiй в 1995 законодавством не вимагалося. Свiдоцтво про реєстрацiю акцiй № 27/1/95 дата реєстрацiї 08.09.1995 р., видане Державною комiсiєю з цiнних паперiв та фондового ринку, втратило чиннiсть.</w:t>
            </w:r>
          </w:p>
        </w:tc>
      </w:tr>
      <w:tr w:rsidR="0058181D" w:rsidRPr="0058181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25.10.1999</w:t>
            </w:r>
          </w:p>
        </w:tc>
        <w:tc>
          <w:tcPr>
            <w:tcW w:w="13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220/24/1/99</w:t>
            </w:r>
          </w:p>
        </w:tc>
        <w:tc>
          <w:tcPr>
            <w:tcW w:w="2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ДКЦПФР</w:t>
            </w:r>
          </w:p>
        </w:tc>
        <w:tc>
          <w:tcPr>
            <w:tcW w:w="17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c>
          <w:tcPr>
            <w:tcW w:w="16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Акція проста 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Документарні іменні</w:t>
            </w:r>
          </w:p>
        </w:tc>
        <w:tc>
          <w:tcPr>
            <w:tcW w:w="1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3 030 120</w:t>
            </w:r>
          </w:p>
        </w:tc>
        <w:tc>
          <w:tcPr>
            <w:tcW w:w="1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757 530</w:t>
            </w:r>
          </w:p>
        </w:tc>
        <w:tc>
          <w:tcPr>
            <w:tcW w:w="17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w:t>
            </w:r>
          </w:p>
        </w:tc>
      </w:tr>
      <w:tr w:rsidR="0058181D" w:rsidRPr="0058181D">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На внутрiшнiх та зовнiшнiх ринках торгiвля цiнними паперами Товариства не здiйснювалась. Фактiв включення/виключення цiнних паперiв емiтента до/з бiржового реєстру фондової бiржi не було. Призначення мiжнародного iдентифiкацiйного номеру для акцiй в 1999 законодавством не вимагалося. Свiдоцтво про реєстрацiю акцiй № 220/24/1/99 дата реєстрацiї 25.10.1999 р., видане Державною комiсiєю з цiнних паперiв та фондового ринку, втратило чиннiсть.</w:t>
            </w:r>
          </w:p>
        </w:tc>
      </w:tr>
      <w:tr w:rsidR="0058181D" w:rsidRPr="0058181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16.02.2009</w:t>
            </w:r>
          </w:p>
        </w:tc>
        <w:tc>
          <w:tcPr>
            <w:tcW w:w="13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02/24/1/09</w:t>
            </w:r>
          </w:p>
        </w:tc>
        <w:tc>
          <w:tcPr>
            <w:tcW w:w="2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ДКЦПФР</w:t>
            </w:r>
          </w:p>
        </w:tc>
        <w:tc>
          <w:tcPr>
            <w:tcW w:w="17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UA4000053516</w:t>
            </w:r>
          </w:p>
        </w:tc>
        <w:tc>
          <w:tcPr>
            <w:tcW w:w="16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3 030 120</w:t>
            </w:r>
          </w:p>
        </w:tc>
        <w:tc>
          <w:tcPr>
            <w:tcW w:w="14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757 530</w:t>
            </w:r>
          </w:p>
        </w:tc>
        <w:tc>
          <w:tcPr>
            <w:tcW w:w="17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w:t>
            </w:r>
          </w:p>
        </w:tc>
      </w:tr>
      <w:tr w:rsidR="0058181D" w:rsidRPr="0058181D">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В зв'язку з перейменуванням товариства 15.06.2012 свiдоцтво було обмiняно. Торгiвля цiнними паперами емiтента на зовнiшнiх та внутрiшнiх ринках не здiйснювалась.  В звiтному роцi фактiв допуску/скасування допуску цiнних паперiв до торгiв на регульованому фондовому ринку не було. Протягом звiтного перiоду Товариство не здiйснювало випускiв акцiй</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Уточнення щодо наявності обмежень за акціями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850"/>
        <w:gridCol w:w="3850"/>
        <w:gridCol w:w="3850"/>
        <w:gridCol w:w="3850"/>
      </w:tblGrid>
      <w:tr w:rsidR="0058181D" w:rsidRPr="0058181D">
        <w:tblPrEx>
          <w:tblCellMar>
            <w:top w:w="0" w:type="dxa"/>
            <w:bottom w:w="0" w:type="dxa"/>
          </w:tblCellMar>
        </w:tblPrEx>
        <w:trPr>
          <w:trHeight w:val="200"/>
        </w:trPr>
        <w:tc>
          <w:tcPr>
            <w:tcW w:w="3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Міжнародний ідентифікаційний номер</w:t>
            </w:r>
          </w:p>
        </w:tc>
        <w:tc>
          <w:tcPr>
            <w:tcW w:w="38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акцій (з них голосуючих), шт.</w:t>
            </w:r>
          </w:p>
        </w:tc>
        <w:tc>
          <w:tcPr>
            <w:tcW w:w="38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викуплених акцій (кількість акцій прирівняних до викуплених), шт.</w:t>
            </w:r>
          </w:p>
        </w:tc>
        <w:tc>
          <w:tcPr>
            <w:tcW w:w="38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інших не голосуючих акцій, шт.</w:t>
            </w:r>
          </w:p>
        </w:tc>
      </w:tr>
      <w:tr w:rsidR="0058181D" w:rsidRPr="0058181D">
        <w:tblPrEx>
          <w:tblCellMar>
            <w:top w:w="0" w:type="dxa"/>
            <w:bottom w:w="0" w:type="dxa"/>
          </w:tblCellMar>
        </w:tblPrEx>
        <w:trPr>
          <w:trHeight w:val="200"/>
        </w:trPr>
        <w:tc>
          <w:tcPr>
            <w:tcW w:w="3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38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38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38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38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UA4000053516</w:t>
            </w:r>
          </w:p>
        </w:tc>
        <w:tc>
          <w:tcPr>
            <w:tcW w:w="38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2568917</w:t>
            </w:r>
          </w:p>
        </w:tc>
        <w:tc>
          <w:tcPr>
            <w:tcW w:w="38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3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461203</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наявність у власності працівників особи акцій у розмірі понад 0,1 % розміру статутного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2000"/>
        <w:gridCol w:w="2000"/>
        <w:gridCol w:w="2000"/>
        <w:gridCol w:w="2000"/>
        <w:gridCol w:w="1700"/>
        <w:gridCol w:w="1700"/>
      </w:tblGrid>
      <w:tr w:rsidR="0058181D" w:rsidRPr="0058181D">
        <w:tblPrEx>
          <w:tblCellMar>
            <w:top w:w="0" w:type="dxa"/>
            <w:bottom w:w="0" w:type="dxa"/>
          </w:tblCellMar>
        </w:tblPrEx>
        <w:trPr>
          <w:trHeight w:val="300"/>
        </w:trPr>
        <w:tc>
          <w:tcPr>
            <w:tcW w:w="4000" w:type="dxa"/>
            <w:vMerge w:val="restart"/>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Ім'я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за типами акцій</w:t>
            </w:r>
          </w:p>
        </w:tc>
      </w:tr>
      <w:tr w:rsidR="0058181D" w:rsidRPr="0058181D">
        <w:tblPrEx>
          <w:tblCellMar>
            <w:top w:w="0" w:type="dxa"/>
            <w:bottom w:w="0" w:type="dxa"/>
          </w:tblCellMar>
        </w:tblPrEx>
        <w:trPr>
          <w:trHeight w:val="300"/>
        </w:trPr>
        <w:tc>
          <w:tcPr>
            <w:tcW w:w="4000" w:type="dxa"/>
            <w:vMerge/>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прості іменні</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привілейовані іменні</w:t>
            </w:r>
          </w:p>
        </w:tc>
      </w:tr>
      <w:tr w:rsidR="0058181D" w:rsidRPr="0058181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17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w:t>
            </w:r>
          </w:p>
        </w:tc>
        <w:tc>
          <w:tcPr>
            <w:tcW w:w="17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w:t>
            </w:r>
          </w:p>
        </w:tc>
      </w:tr>
      <w:tr w:rsidR="0058181D" w:rsidRPr="0058181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Ємець Олег Володимирович</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264 066</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8,7147</w:t>
            </w:r>
          </w:p>
        </w:tc>
        <w:tc>
          <w:tcPr>
            <w:tcW w:w="17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264 066</w:t>
            </w:r>
          </w:p>
        </w:tc>
        <w:tc>
          <w:tcPr>
            <w:tcW w:w="17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Берко Наталiя Вiталiївна</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265 361</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8,7574</w:t>
            </w:r>
          </w:p>
        </w:tc>
        <w:tc>
          <w:tcPr>
            <w:tcW w:w="17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265 361</w:t>
            </w:r>
          </w:p>
        </w:tc>
        <w:tc>
          <w:tcPr>
            <w:tcW w:w="17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Усього</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529 427</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17,4721</w:t>
            </w:r>
          </w:p>
        </w:tc>
        <w:tc>
          <w:tcPr>
            <w:tcW w:w="17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529 427</w:t>
            </w:r>
          </w:p>
        </w:tc>
        <w:tc>
          <w:tcPr>
            <w:tcW w:w="17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bl>
    <w:p w:rsidR="0058181D" w:rsidRDefault="0058181D">
      <w:pPr>
        <w:widowControl w:val="0"/>
        <w:autoSpaceDE w:val="0"/>
        <w:autoSpaceDN w:val="0"/>
        <w:adjustRightInd w:val="0"/>
        <w:spacing w:after="0" w:line="240" w:lineRule="auto"/>
        <w:rPr>
          <w:rFonts w:ascii="Times New Roman CYR" w:hAnsi="Times New Roman CYR" w:cs="Times New Roman CYR"/>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lang w:val="en-US"/>
        </w:rPr>
      </w:pPr>
    </w:p>
    <w:p w:rsidR="0058181D" w:rsidRPr="0058181D" w:rsidRDefault="0058181D">
      <w:pPr>
        <w:widowControl w:val="0"/>
        <w:autoSpaceDE w:val="0"/>
        <w:autoSpaceDN w:val="0"/>
        <w:adjustRightInd w:val="0"/>
        <w:spacing w:after="0" w:line="240" w:lineRule="auto"/>
        <w:rPr>
          <w:rFonts w:ascii="Times New Roman CYR" w:hAnsi="Times New Roman CYR" w:cs="Times New Roman CYR"/>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58181D" w:rsidRPr="0058181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Кількість голосуючих акцій, права голосу за якими за результатами обмеження таких прав передано іншій особі, шт.</w:t>
            </w:r>
          </w:p>
        </w:tc>
      </w:tr>
      <w:tr w:rsidR="0058181D" w:rsidRPr="0058181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w:t>
            </w:r>
          </w:p>
        </w:tc>
      </w:tr>
      <w:tr w:rsidR="0058181D" w:rsidRPr="0058181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16.02.2009</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02/24/1/09</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UA4000053516</w:t>
            </w:r>
          </w:p>
        </w:tc>
        <w:tc>
          <w:tcPr>
            <w:tcW w:w="20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3 030 120</w:t>
            </w:r>
          </w:p>
        </w:tc>
        <w:tc>
          <w:tcPr>
            <w:tcW w:w="21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757 530</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2 568 917</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28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Cтрок обмеження: -</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Характеристика обмеження: Загальна кiлькiсть простих iменних акцiй Товариства становить 3 030 120 штук, з них 2 568 917 акцiя є голосуючими.</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Кiлькiсть акцiй, права голосу за якими обмежено, становить 461 203 штук.</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Обмеження застосовано у зв'язку з невиконанням власниками цих акцiй вимог Закону України "Про депозитарну систему України" щодо вiдкриття рахунку в цiнних паперах.</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Права голосу за цими акцiями iншiй особi не передавались.</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sectPr w:rsidR="0058181D">
          <w:pgSz w:w="16837" w:h="11905" w:orient="landscape"/>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III. Фінансова інформація</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020"/>
        <w:gridCol w:w="2900"/>
        <w:gridCol w:w="2900"/>
      </w:tblGrid>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Вид діяльності особи із зазначенням найменування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Відсоткове вираження по відношенню від сукупного доходу особи за результатами звітного року</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9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29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35.30 - Постачання пари, гарячої води та кондицiйованого повiтря</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873490</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97,48</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35.11 - Виробництво електроенергiї</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1059</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0,12</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74.90 - Iнша професiйна, наукова та технiчна дiяльнiсть, н.в.i.у.</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625</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0,07</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43.22 - Монтаж водопровiдних мереж, систем опалення та кондицiонування</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5018</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0,56</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85.32 - Професiйно-технiчна освiта</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29</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0,01</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68.20 - Надання в оренду й експлуатацiю власного чи орендованого нерухомого майна</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819</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0,09</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81.10 - Комплексне обслуговування об'єктiв</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4526</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0,5</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33.12 - Ремонт i технiчне обслуговування машин i устаткування промислового призначення</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9923</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1,11</w:t>
            </w:r>
          </w:p>
        </w:tc>
      </w:tr>
      <w:tr w:rsidR="0058181D" w:rsidRPr="0058181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33.13 - Ремонт i технiчне обслуговування електронного й оптичного устаткування</w:t>
            </w:r>
          </w:p>
        </w:tc>
        <w:tc>
          <w:tcPr>
            <w:tcW w:w="29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534</w:t>
            </w:r>
          </w:p>
        </w:tc>
        <w:tc>
          <w:tcPr>
            <w:tcW w:w="29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0,06</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2. Річна фінансова звітність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http://www.otke.cn.ua/regul.shtml</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URL-адреса вебсторінки Центру збору фінансової звітності, за якою розміщено електронний файл фінансової звітності: Так як Товариство складає фiнансову звiтнiсть за нацiональними стандартами фiнансової звiтностi та не складає рiчну фiнансову звiтнiсть у форматi XBRL i не подає її до Центру збору фiнансової звiтностi, URL-адреса вебсторiнки Центру збору фiнансової звiтностi, за якою розмiщено електронний файл фiнансової звiтностi, у складi якого розкрито iнформацiю фiнансову звiтнiсть особи не зазначається.</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3. Аудиторський звіт до річної фінансової звітності</w:t>
      </w: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Довідка щодо відомостей про аудиторський звіт щодо фінансової звітності за звітний рік: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
        <w:gridCol w:w="5300"/>
        <w:gridCol w:w="4000"/>
      </w:tblGrid>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Повне найменування</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АКЦIОНЕРНЕ ТОВАРИСТВО "ОБЛТЕПЛОКОМУНЕНЕРГО"</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03357671</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3</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Найменування суб'єкта аудиторської діяльності</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ТОВАРИСТВО З ОБМЕЖЕНОЮ ВIДПОВIДАЛЬНIСТЮ КРОУ ЕРФОЛЬГ УКРАЇНА</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4</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Ідентифікаційний код суб'єкта аудиторської діяльності</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36694398</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5</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Реєстраційний номер облікової картки платника податків /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відповідно до закону) для аудитора, який одноосібно провадить аудиторську діяльність</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6</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Реєстровий номер та дата внесення реєстрової інформації до Реєстру аудиторів та суб'єктів аудиторської діяльності аудиторської фірми</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4316, вiд 26.10.2018</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7</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Реєстровий номер аудитора, який одноосібно провадить аудиторську діяльність в Реєстрі аудиторів та суб'єктів аудиторської діяльності</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8</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Розділ Реєстру аудиторів та суб'єктів аудиторської діяльності (аудитори - "1"; суб'єкти аудиторської діяльності - "2"; суб'єкти аудиторської діяльності, які мають право проводити обов'язковий аудит фінансової звітності - "3"; суб'єкти аудиторської діяльності, які мають право проводити обов'язковий аудит фінансової звітності підприємств, що становлять суспільний інтерес - "4")</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4 - суб'єкти аудиторської діяльності, які мають право проводити обов'язковий аудит фінансової звітності підприємств, що становлять суспільний інтерес</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9</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Звітний період, за який проведено аудит фінансової звітності</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 01.01.2025 по 31.12.2025</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10</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Думка аудитора (немодифікована - "01"; із застереженням - "02"; негативна - "03"; відмова від висловлення думки - "04")</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 - </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11</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Номер та дата договору на проведення аудиту</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№218/26 від 05.03.2026</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12</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Дата початку та дата закінчення аудиту</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 05.03.2026 по 07.05.2026</w:t>
            </w: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13</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Дата аудиторського звіту</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14</w:t>
            </w:r>
          </w:p>
        </w:tc>
        <w:tc>
          <w:tcPr>
            <w:tcW w:w="53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Інформація про виявлені факти аудитором або ключовим партнером при виконанні завдання з обов'язкового аудиту фінансової звітності підприємства, що становить суспільний інтерес, що могли мати місце або мали місце порушення, зокрема шахрайство щодо фінансової звітності такого підприємства, та інформація про вжиття відповідних заходів щодо усунення цих порушень органом управління підприємства</w:t>
            </w:r>
          </w:p>
        </w:tc>
        <w:tc>
          <w:tcPr>
            <w:tcW w:w="4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Аудиторський звіт до річної фінансової звітності:</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Станом на дату розкриття рiчного звiту Товариством ще не отримано звiт незалежного аудитора щодо фiнансової звiтностi за 2025 рiк. Товариство пiсля отримання аудиторського звiту вкаже всю iнформацiю у вiдповiдностi до законодавства.</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Твердження щодо річної інформації</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Голова правлiння Щербина О.Ю. повiдомляє про те, що наскiльки це йому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 Звiт керiвництва включає достовiрне та об'єктивне подання iнформацiї про розвиток i здiйснення господарської дiяльностi та стан емiтента разом з описом основних ризикiв та невизначеностей, з якими емiтент стикається у своїй господарськiй дiяльностi. Юридичних осiб, якi перебувають пiд контролем емiтента немає, консолiдована фiнансова звiтнiсть не складається.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5. Значні правочини та правочини із заінтересованістю</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прийняття рішення про попереднє надання згоди на вчинення значних правочинів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500"/>
        <w:gridCol w:w="7850"/>
      </w:tblGrid>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прийняття рішення</w:t>
            </w:r>
          </w:p>
        </w:tc>
        <w:tc>
          <w:tcPr>
            <w:tcW w:w="78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URL-адреса вебсайту, на якій розміщена інформація</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78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r>
      <w:tr w:rsidR="0058181D" w:rsidRPr="0058181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09.05.2025</w:t>
            </w:r>
          </w:p>
        </w:tc>
        <w:tc>
          <w:tcPr>
            <w:tcW w:w="78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http://www.otke.cn.ua/osobl.shtml</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Звіт керівництва (звіт про управління)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та стейкхолдери! Товариство здiйснює свою дiяльнiсть вiдповiдно до вимог чинного Законодавства України, а саме: Конституцiї України, Закону України "Про акцiонернi товариства", нормативно-правових актiв Нацiональної комiсiї з цiнних паперiв та фондового ринку, а також Статуту Товариства. Крiм того, Товариство несе вiдповiдальнiсть не лише перед акцiонерами, а й перед iншими зацiкавленими сторонами - працiвниками, споживачами, державою, тощо. В звiтному перiодi Наглядова рада продовжувала працювати у вiдповiдностi до чинного законодавства з урахуванням нових стандартiв корпоративного управлiння для забезпечення ефективної фiнансово-господарської дiяльностi, дiлової доброчесностi, вiдповiдальностi та тiсної спiвпрацi з пiдприємствами Чернiгiвської областi, органами мiсцевого самоврядування для пiдвищення економiчного розвитку нашого товариства та регiону в цiлому. Даний звiт пiдготовлено у вiдповiдностi до вимог Статтi 127 Закону України "Про ринки капiталу та органiзованi товарнi ринки", пункту 42 "Положення про розкриття iнформацiї емiтентами цiнних паперiв, а також особами, якi надають забезпечення за такими цiнними паперами" затвердженого НКЦПФР 06.06.2023 № 608, ст.ст.40,40-1 Закону України "Про внесення змiн до деяких законодавчих актiв України щодо спрощення ведення бiзнесу та залучення iнвестицiй емiтентами цiнних паперiв"  №2210 вiд 16.11.2017р. та є складовою частиною Рiчної iнформацiї про емiтента за 2025 рiк. Наглядова рада Товариства є колегiальним органом, що в межах компетенцiї, визначеної Статутом та законодавством, здiйснює управлiння Товариством, а також контролює та регулює дiяльнiсть виконавчого органу.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24 лютого 2022 року росiйська федерацiя розв'язала вiйну проти України. Вiдповiдно до Указу Президента України вiд 24.02.2022 року № 64/2022 "Про введення воєнного стану в Українi", затвердженого Законом України вiд 24.02.2022 № 2102-IX, на всiй територiї України запроваджено правовий режим воєнного стану. Вiйна в Українi торкнулася всiх сфер суспiльного життя України. Не стало винятком i наше Товариство. Наглядовою радою здiйснювалося оперативне вирiшення невiдкладних питань для ефективного функцiонування Товариства в цих надскладних умовах.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2025 роцi, зважаючи на обставини викликанi вiйськовою агресiєю росiї та вiйною, засiдання Наглядової ради Товариства скликались по мiрi необхiдностi. У всiх засiданнях Наглядової ради приймали участь бiльшiсть членiв Ради, тому, вiдповiдно до Статуту Товариства, засiдання та всi прийнятi рiшення на них були правомочними.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 звiтний перiод Наглядовою радою Товариства були проведенi засiдання, на яких було розглянуто ряд питань щодо дiяльностi Товариства, зокрема про скликання рiчних дистанцiйних зборiв акцiонерiв, про скликання позачергових загальних зборiв акцiонерiв.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Нагядовою радою разом з виконавчим органом постiйно здiйснюється пошук нових ресурсiв, якi можна використати в нових обставинах, новi iдеї, що допоможуть ефективно далi працювати. Наглядовою радою у спiвпрацi з виконавчим органом визначено стратегiчнi цiлi на 2024-2025 роки та необхiднi заходи в рамках впровадження вiдповiдних цiлей. Зокрема, в звiтному 2025 роцi та на майбутнє, визначено такi основнi напрямки дiяльностi пiдприємства: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забезпечення безперервностi дiяльностi Товариства шляхом безперервностi функцiонування товариства в умовах вiйськової агресiї рф та пiсля завершення бойових дiй;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пошук шляхiв зменшення екологiчних та соцiальних ризикiв дiяльностi Товариства;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забезпечення якостi та безпечностi послуг, що надає Товариство.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Мiж Наглядовою радою та виконавчим органом налагоджено дiєву комунiкацiю та спiвпрацю, що є запорукою ефективного управлiння Товариством. Найвищим прiоритетом у нашiй роботi є виробництво теплової енергiї для забезпечення потреб споживачiв, а також розвиток Товариства у вiдповiдностi до вимог та викликiв нашого часу. За результатами дiяльностi Товариства за 2025 рiк наглядовою радою встановлено: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обов'язковi податки та збори сплаченi своєчасно та в повному обсязi;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фiнансовi операцiї здiйснювались вiдповiдно до Статуту та чинного законодавства;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фiнансовi операцiї погодженi у вiдповiдному порядку з наглядовою радою;</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господарська дiяльнiсть ведеться рацiонально та в межах чинного законодавства;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незважаючи на кризовi явища та воєнний стан, фiнансовi показники Товариства залишаються задовiльними;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заробiтна плата виплачується своєчасно.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Порушень прав та законних iнтересiв акцiонерiв протягом 2025 року наглядовою радою не виявлено.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i надалi буде займати активну позицiю щодо узгодження всiх дiй з виконавчим органом Товариства, розробляти концепцiю розвитку пiдприємства в умовах iснуючої економiчної ситуацiї.</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Враховуючи вищевикладене, Наглядова рада просить шановних акцiонерiв затвердити результати дiяльностi Товариства за 2025 рiк, рiчнi звiти i баланс, звiт Наглядової ради.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Шановнi члени наглядової ради, акцiонери та присутнi!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Звiтний 2025 рiк для нашого пiдприємства став перiодом роботи в екстремальних умовах. Моя дiяльнiсть як Голови правлiння базувалася на чiткому дотриманнi чинного законодавства, Статуту та рiшень органiв управлiння.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Дозвольте зупинитися на ключових аспектах нашої роботи.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Операцiйна дiяльнiсть та кризовий менеджмент</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Головним завданням року було забезпечення безперебiйної роботи об'єктiв теплопостачання та виконання зобов'язань перед споживачами. У фокусi уваги перебували: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Ефективне управлiння обiговими коштами.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Недопущення заборгованостi по заробiтнiй платi та податках.</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Побудова моделi управлiння, яка дозволяє мiнiмiзувати втрати в умовах воєнного стану.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Модернiзацiя та енергетична стiйкiсть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Враховуючи вiйськову агресiю, критичним питанням стало виживання системи в умовах енергодефiциту. Керiвництвом проведено масштабну роботу iз залучення iноземних донорiв. Завдяки цiй спiвпрацi 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Розпочали реконструкцiю обладнання котелень.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Забезпечили об'єкти альтернативними джерелами електропостачання.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Фiнансовi показники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Попри складну економiчну ситуацiю, нам вдалося покращити фiнансовий результат у порiвняннi з минулим роком:</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Збиток за 2025 рiк склав 288 011 тис. грн. для порiвняння: у 2024 роцi цей показник становив 328 912 тис. грн. нам вдалося скоротити збитковiсть на 40,9 млн грн.</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Наголошую: податки сплаченi вчасно, фiнансовi показники залишаються задовiльними, а господарська дiяльнiсть ведеться виключно в межах закону та принципiв рацiональностi.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Соцiальна вiдповiдальнiсть та кадри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Нашим прiоритетом є люди. Незважаючи на кризовi явища, заробiтна плата всьому колективу виплачується своєчасно та в повному обсязi. Стабiльнiсть колективу - це запорука якостi наших послуг.</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Прогноз та стратегiчнi плани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Ми розумiємо, що подальша стабiлiзацiя залежить вiд зовнiшнiх факторiв: покращення платоспроможностi населення та головне - закiнчення вiйни.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Проте, позицiя Товариства залишається твердою: ми плануємо i надалi виконувати затвердженi плани, впроваджувати енергоефективнi заходи та забезпечувати потреби наших споживачiв.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Інформація про розвиток та вірогідні перспективи подальшого розвитку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було створено в 60-тi роки минулого сторiччя для обслуговування i ремонту котелень та теплових мереж i до теперiшнього часу працює в зазначенiй галузi.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Сьогоднiшнє АКЦIОНЕРНЕ ТОВАРИСТВО "ОБЛТЕПЛОКОМУНЕНЕРГО" - потужна структура теплозабезпечення значної частини споживачiв мiста Чернiгова та 18 населених пунктiв Чернiгiвської областi.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Основний вид дiяльностi - надання послуг теплопостачання населенню, виробництво, транспортування та постачання теплової енергiї для об'єктiв бюджетних установ, iнших споживачiв та релiгiйних органiзацiй. Пiдприємство здiйснює експлуатацiю, технiчне обслуговування i ремонт котелень, теплових пунктiв, теплових мереж.</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Система централiзованого теплопостачання Товариства вiдноситься до схiдноєвропейського типу: локальна котельня з тепловими мережами опалення та iндивiдуальний, груповий або центральний тепловий пункт з тепловими мережами гарячого водопостачання. Для пiдвищення надiйностi окремi котельнi забезпеченi перемичками для переключення споживачiв вiд однiєї котельнi до iншої у разi аварiйної ситуацiї, що знижує ризик виникнення перебоїв у наданнi послуг.</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Генерацiя тепла вiдбувається на 86 котельнях (в т.ч. 42 котельнях у м. Чернiговi). За видом палива всi котельнi є газовими, окрiм шести котелень, якi можуть працюють на твердому паливi (пелети). Всi котельнi працюють з постiйною присутнiстю обслуговуючого персоналу.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Мета дiяльностi Товариства полягає у забезпеченнi високої якостi послуг централiзованого опалення та гарячого водопостачання мешканцiв мiста Чернiгова та областi та безперебiйної роботи Товариства. Для цього Товариство вживає заходи щодо зниження собiвартостi продукцiї;  пошук нових резервiв зростання прибутку; пошук нових резервiв зменшення збиткiв; оптимiзацiя витрат на ресурси, технологiчний процес, заробiтну плату; оптимiзацiя втрат вiд настання ризикiв, в тому числi фiнансових; забезпечення фiнансової стiйкостi i платоспроможностi пiдприємства в тому числi i в довгостроковому перiодi; забезпечення фiнансової безпеки пiдприємства; балансування структури активiв та пасивiв, доходiв та витрат.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Крiм того, придiляється увага технiко-технологiчному розвитку матерiально-технiчної бази - оновлення, по можливостi, фiзично-зношених та морально застарiлих виробничих фондiв, впровадження прогресивних технологiчних процесiв; пiдвищення якостi виготовлення продукцiї; удосконалення виробничої системи управлiння; впровадження ресурсозберiгаючих (передовсiм енергоощадних) технологiй; автоматизацiя ручної працi; полiпшення умов працi робiтникiв та технiки безпеки; адаптацiя технологiй виробництва вiдповiдно до вимог охорони навколишнього середовища.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Пiдприємство планує досягти цiєї мети шляхом подальшого вдосконалення роботи у таких напрямках як: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Подальше удосконалення та пiдвищення якостi експлуатацiї та технiчного обслуговування основних засобiв, ефективне та рацiональне використання ресурсiв, впровадження нових технологiй по виробництву та транспортуванню теплової енергiї, застосування енергозберiгаючих технологiй та дотримання вимог щодо охорони навколишнього середовища.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Укрiплення позитивної репутацiї Товариства.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Ефективна соцiальна полiтика, пiдбiр та робота з кадрами, якi б забезпечили виконання поставлених завдань.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 xml:space="preserve">Утримання iснуючих позицiй на ринку в умовах економiчної кризи, пошук нових ринкiв збуту, пiдвищення якостi продукцiї (робiт, послуг), оперативне виконання замовлень та високий рiвень обслуговування споживачiв.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Дiяльнiсть АТ ОТКЕ має важливе економiчне та стратегiчне значення в державi, при цьому  стабiльна робота товариства з забезпечення тепловою енергiєю населення мiста Чернiгова та областi, а також пiдприємств, установ та органiзацiй має виняткове значення, а її порушення може привести до виникнення надзвичайної ситуацiї техногенного характеру регiонального рiвня.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Стратегiчнi цiлi подальшого розвитку Товариства залишаються незмiнними, але пiдлягають коригуванню з урахуванням iснуючої економiчної та полiтичної ситуацiї.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Наразi, в умовах що склалися, найбiльш прiоритетним напрямком подальшого розвитку, керiвництво Товариства вважає збереження бiзнесу на основi внутрiшньої оптимiзацiї структури та процесiв пiдприємства. Але також слiд враховувати, що Товариство веде свою дiяльнiсть в нестабiльному середовищi, яке iснує на даний час в Українi. Основним фактором нестабiльностi є в першу чергу вiйськова агресiя росiйської федерацiї проти України. Цi подiї та умови разом з кризовими явищами, якi значно поглибились пiсля початку вiйни проти України, вказують, що iснує суттєва невизначенiсть, що може поставити пiд значний сумнiв здатнiсть Товариства продовжувати свою дiяльнiсть на безперервнiй основi.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Ситуацiя продовжує змiнюватися, тому майбутнi наслiдки точно передбачити неможливо. Внаслiдок невизначеностi i можливої тривалостi подiй, пов'язаних зi росiйською агресiєю, Товариство не має практичної можливостi точно та надiйно оцiнити вплив  зазначених подiй на фiнансовий стан i фiнансовi результати дiяльностi в майбутньому.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Товариства стежить за станом розвитку поточної ситуацiї i вживає заходiв, за необхiдностi, для мiнiмiзацiї будь-яких негативних наслiдкiв наскiльки це можливо. Подальший негативний розвиток подiй може i далi негативно впливати на фiнансовий стан, результати дiяльностi та економiчнi перспективи Товариства та його контрагентiв у такий спосiб, що наразi не може бути визначений. Повномасштабна вiйна в Українi внесла серйознi корективи в плани розвитку Товариства. З перших днiв повномасштабного вторгнення  частину територiї Чернiгiвської областi було окуповано. Мiсто було оточено та знаходилося пiд постiйними обстрiлами. Бойовi дiї змусили багатьох жителiв мiста покинути свої оселi в пошуках безпеки.  Вiйна призвела до великих людських жертв, масового перемiщення населення та значного пошкодження iнфраструктури як України в цiлому, так i Чернiгiвщини, зокрема.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Матерiально-технiчна база Товариства, зокрема об'єкти у прикордонних регiонах, регулярно зазнає механiчних пошкоджень. Основнi руйнування стосуються конструктивних елементiв будiвель: вiконних та дверних блокiв, покрiвель.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Також слiд зазначити, що Товариство зiткнулося з низкою нових викликiв: нестабiльним енергопостачанням, iнфляцiйним тиском та ризиками для безпеки персоналу. Попри складнi обставини, Товариство успiшно впровадило заходи з адаптацiї бiзнес-процесiв до роботи в умовах воєнного стану. Незважаючи на ризики, мiльйони гривень було спрямовано у вiдновлення пошкодженої iнфраструктури, проведення ремонтних робiт, дiагностику обладнання. Попри складностi воєнного стану, спiвробiтники Товариства  здiйснили весь комплекс робiт з пiдготовки та запуску опалювального сезону 2025/2026 рокiв.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Вiрогiднi перспективи подальшого розвитку Товариства в цiлому залежать вiд загальної економiчної та полiтичної ситуацiї в країнi, рiвня платоспроможностi як громадян так i пiдприємств, установ, органiзацiй, iнших зовнiшнiх чинникiв, тому на даний час керiвництво не має змоги робити довготривалi прогнози щодо подальшого розвитку Товариства.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РОЗВИТОК ТОВАРИСТВА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Пiдприємство об'єднаних котелень та теплових мереж "ЧЕРНIГIВТЕПЛОМЕРЕЖI" було створене згiдно з наказом Мiнiстерства комунального господарства УРСР №353 вiд 01.08.1968 року та рiшенням виконавчого комiтету Чернiгiвської мiської ради депутатiв трудящих №714 вiд 31 грудня 1968 року та розпочало свою дiяльнiсть з 01.01.1969 року з пiдпорядкуванням мiському житлово-комунальному управлiнню.</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Причинами для створення спецiалiзованих пiдприємств з обслуговування i ремонту котелень та теплових мереж стало зростання темпiв мiського будiвництва наприкiнцi 60-х рокiв, пiдвищення вимог до якостi послуг, рiвня професiйностi робiтникiв, якi експлуатують газове i теплотехнiчне обладнання котелень та тепломереж в м. Чернiговi.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Згiдно з наказом Регiонального вiддiлення Фонду Державного майна України по Чернiгiвськiй областi вiд 18.07.1995 р. № 368 шляхом перетворення Державного комунального пiдприємства теплових мереж "Облтеплокомуненерго" було створено вiдкрите акцiонерне товариство вiдповiдно до Декрету Кабiнету Мiнiстрiв України вiд 20.05.1993 р. № 57/93 "Про приватизацiю цiлiсних майнових комплексiв державних пiдприємств та їх структурних пiдроздiлiв, зданих в оренду".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Вiдкрите акцiонерне товариство "ОБЛТЕПЛОКОМУНЕНЕРГО" з метою приведення у вiдповiднiсть до вимог Закону України "Про акцiонернi товариства" на пiдставi рiшення чергових загальних зборiв акцiонерiв (протокол №20 вiд 24 квiтня 2013 року) було перейменоване на ПУБЛIЧНЕ АКЦIОНЕРНЕ ТОВАРИСТВО "ОБЛТЕПЛОКОМУНЕНЕРГО".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"ОБЛТЕПЛОКОМУНЕНЕРГО", перейменоване з ПУБЛIЧНОГО АКЦIОНЕРНОГО ТОВАРИСТВА "ОБЛТЕПЛОКОМУНЕНЕРГО" вiдповiдно до рiшення загальних зборiв акцiонерiв ПУБЛIЧНОГО АКЦIОНЕРНОГО ТОВАРИСТВА "ОБЛТЕПЛОКОМУНЕНЕРГО" (протокол №28 вiд 24.04.2018), у зв'язку змiною типу Товариства на приватне (ця редакцiя Статуту була зареєстрована 20.03.2019 року i дiяла до реєстрацiї нової редакцiї Статуту). Загальними зборами акцiонерiв 28.04.2020 року було прийнято рiшення про внесення змiн та доповнень до Статуту (зареєстрований 26.12.2020 року). Згiдно цiєї редакцiї Статуту було змiнено структуру органiв управлiння Товариства: зменшено кiлькiсть членiв наглядової ради (було 5, стало 3). Загальними зборами акцiонерiв (протокол вiд 12.10.2022 року) внесено змiни до Статуту та прийнято нову редакцiю Статуту. Нова редакцiя Статуту була зареєстрована 19.10.2022 року. Згiдно цiєї редакцiї Статуту змiнено структуру органiв управлiння Товариства: зменшено кiлькiсть членiв правлiння (було 5, стало 3). Загальними зборами акцiонерiв (протокол вiд 14.07.2023) внесено змiни до Статуту та прийнято нову редакцiю Статуту, яка зареєстрована 22.07.2023 року. Загальними зборами акцiонерiв 25.04.2024 року затверджено нову редакцiю Статуту товариства (протокол вiд 10.05.2024). Нова редакцiя статуту зареєстрована 17.06.2024 року. На виконання вимог чинного законодавства загальними зборами акцiонерiв 25.04.2025 року затверджено нову редакцiю Статуту товариства (протокол вiд 09.05.2024). Нова редакцiя статуту зареєстрована 13.05.2025 року.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Мiсцезнаходження Товариства: мiсто Чернiгiв, вул. Ремiснича, будинок 55-Б.</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видами дiяльностi, якими займається Товариство, є: надання послуг з теплопостачання та виробництво, транспортування i постачання теплової енергiї. Також, пiдприємство здiйснює експлуатацiю, технiчне обслуговування i ремонт котелень, теплових пунктiв, теплових мереж. Основними споживачами послуг Товариства є: населення та юридичнi особи (в т.ч. бюджетнi установи, релiгiйнi органiзацiї) та iншi споживачi мiста Чернiгова та областi.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для реєстрацiї та подальшої обробки iнформацiї, що надходить до пiдприємства використовує електронний документообiг, який є складовою частиною програмного комплексу управлiння пiдприємством СР2000.</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в своїй дiяльностi використовує об'єкти єдиного (цiлiсного) майнового комплексу (ЄМК/ЦМК), що є власнiстю фонду комунального майна, але облiковуються на балансi Товариства так, як це передбачено договором оренди ЄМК/ЦМК, Законом України "Про оренду державного та комунального майна" №2269-XII вiд 10.04.1992 р. та  Положенням "про порядок бухгалтерського облiку окремих активiв та операцiй пiдприємств державного, комунального секторiв економiки i господарських органiзацiй, якi володiють та/або користуються об'єктами державної, комунальної власностi" затвердженим наказом Мiнiстерства фiнансiв України №1213 вiд 19 грудня 2006 року. Вiдповiдно до умов договору та Положення, Товариство повинно здiйснювати iнвестицiї в основнi засоби, включаючи проведення будь-яких видiв ремонтiв та полiпшень, за рахунок амортизацiйних вiдрахувань, нарахованих на орендоване комунальне майно.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про результати дiяльностi Товариства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Показник</w:t>
      </w:r>
      <w:r>
        <w:rPr>
          <w:rFonts w:ascii="Times New Roman CYR" w:hAnsi="Times New Roman CYR" w:cs="Times New Roman CYR"/>
          <w:sz w:val="24"/>
          <w:szCs w:val="24"/>
        </w:rPr>
        <w:tab/>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2025 рiк</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тис. грн</w:t>
      </w:r>
      <w:r>
        <w:rPr>
          <w:rFonts w:ascii="Times New Roman CYR" w:hAnsi="Times New Roman CYR" w:cs="Times New Roman CYR"/>
          <w:sz w:val="24"/>
          <w:szCs w:val="24"/>
        </w:rPr>
        <w:tab/>
        <w:t>2024 рiк</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тис. грн.</w:t>
      </w:r>
      <w:r>
        <w:rPr>
          <w:rFonts w:ascii="Times New Roman CYR" w:hAnsi="Times New Roman CYR" w:cs="Times New Roman CYR"/>
          <w:sz w:val="24"/>
          <w:szCs w:val="24"/>
        </w:rPr>
        <w:tab/>
        <w:t>Прирiст/ зменшення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тис. грн.</w:t>
      </w:r>
      <w:r>
        <w:rPr>
          <w:rFonts w:ascii="Times New Roman CYR" w:hAnsi="Times New Roman CYR" w:cs="Times New Roman CYR"/>
          <w:sz w:val="24"/>
          <w:szCs w:val="24"/>
        </w:rPr>
        <w:tab/>
        <w:t>Прирiст/ зменшення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Чистий дохiд вiд реалiзацiї продукцiї, товарiв, робiт, послуг</w:t>
      </w:r>
      <w:r>
        <w:rPr>
          <w:rFonts w:ascii="Times New Roman CYR" w:hAnsi="Times New Roman CYR" w:cs="Times New Roman CYR"/>
          <w:sz w:val="24"/>
          <w:szCs w:val="24"/>
        </w:rPr>
        <w:tab/>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896023</w:t>
      </w:r>
      <w:r>
        <w:rPr>
          <w:rFonts w:ascii="Times New Roman CYR" w:hAnsi="Times New Roman CYR" w:cs="Times New Roman CYR"/>
          <w:sz w:val="24"/>
          <w:szCs w:val="24"/>
        </w:rPr>
        <w:tab/>
        <w:t>848701</w:t>
      </w:r>
      <w:r>
        <w:rPr>
          <w:rFonts w:ascii="Times New Roman CYR" w:hAnsi="Times New Roman CYR" w:cs="Times New Roman CYR"/>
          <w:sz w:val="24"/>
          <w:szCs w:val="24"/>
        </w:rPr>
        <w:tab/>
        <w:t>+47322</w:t>
      </w:r>
      <w:r>
        <w:rPr>
          <w:rFonts w:ascii="Times New Roman CYR" w:hAnsi="Times New Roman CYR" w:cs="Times New Roman CYR"/>
          <w:sz w:val="24"/>
          <w:szCs w:val="24"/>
        </w:rPr>
        <w:tab/>
        <w:t>+5,6</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Собiвартiсть реалiзованої продукцiї (товарiв, робiт, послуг)</w:t>
      </w:r>
      <w:r>
        <w:rPr>
          <w:rFonts w:ascii="Times New Roman CYR" w:hAnsi="Times New Roman CYR" w:cs="Times New Roman CYR"/>
          <w:sz w:val="24"/>
          <w:szCs w:val="24"/>
        </w:rPr>
        <w:tab/>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1168929</w:t>
      </w:r>
      <w:r>
        <w:rPr>
          <w:rFonts w:ascii="Times New Roman CYR" w:hAnsi="Times New Roman CYR" w:cs="Times New Roman CYR"/>
          <w:sz w:val="24"/>
          <w:szCs w:val="24"/>
        </w:rPr>
        <w:tab/>
        <w:t>1071652</w:t>
      </w:r>
      <w:r>
        <w:rPr>
          <w:rFonts w:ascii="Times New Roman CYR" w:hAnsi="Times New Roman CYR" w:cs="Times New Roman CYR"/>
          <w:sz w:val="24"/>
          <w:szCs w:val="24"/>
        </w:rPr>
        <w:tab/>
        <w:t>+97277</w:t>
      </w:r>
      <w:r>
        <w:rPr>
          <w:rFonts w:ascii="Times New Roman CYR" w:hAnsi="Times New Roman CYR" w:cs="Times New Roman CYR"/>
          <w:sz w:val="24"/>
          <w:szCs w:val="24"/>
        </w:rPr>
        <w:tab/>
        <w:t>+9,1</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Чистий збиток</w:t>
      </w:r>
      <w:r>
        <w:rPr>
          <w:rFonts w:ascii="Times New Roman CYR" w:hAnsi="Times New Roman CYR" w:cs="Times New Roman CYR"/>
          <w:sz w:val="24"/>
          <w:szCs w:val="24"/>
        </w:rPr>
        <w:tab/>
        <w:t>(288011)</w:t>
      </w:r>
      <w:r>
        <w:rPr>
          <w:rFonts w:ascii="Times New Roman CYR" w:hAnsi="Times New Roman CYR" w:cs="Times New Roman CYR"/>
          <w:sz w:val="24"/>
          <w:szCs w:val="24"/>
        </w:rPr>
        <w:tab/>
        <w:t>(328912)</w:t>
      </w:r>
      <w:r>
        <w:rPr>
          <w:rFonts w:ascii="Times New Roman CYR" w:hAnsi="Times New Roman CYR" w:cs="Times New Roman CYR"/>
          <w:sz w:val="24"/>
          <w:szCs w:val="24"/>
        </w:rPr>
        <w:tab/>
        <w:t>х</w:t>
      </w:r>
      <w:r>
        <w:rPr>
          <w:rFonts w:ascii="Times New Roman CYR" w:hAnsi="Times New Roman CYR" w:cs="Times New Roman CYR"/>
          <w:sz w:val="24"/>
          <w:szCs w:val="24"/>
        </w:rPr>
        <w:tab/>
        <w:t>х</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 вiдношенню до попереднього року у 2025 роцi загальний обсяг реалiзацiї збiльшився на 5,6%. При цьому порiвняно з попереднiм роком собiвартiсть збiльшилась на 9,1%, адмiнiстративнi витрати зменшились - на 2792 тис. грн. i становлять 41169 тис.грн. Iншi операцiйнi витрати зменшились на 24680 тис.грн. Проте при позитивнiй динамiцi зростання доходiв та зменшенню витратної частини товариством отримано за результатами дiяльностi в 2025 роцi збиток - 288011 тис.грн.</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Основною причиною збитковостi є те, що вiдповiдно до чинного законодавства пiдприємство має обмеження щодо застосування економiчно обгрунтованого тарифу на послуги з постачання теплової енергiї та послуги з постачання гарячої води для категорiї "населення", та застосовує тариф, що дiяв для споживачiв станом на 24.02.2022.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Визначальною категорiєю споживачiв послуг з постачання теплової енергiї та гарячого водопостачання є населення,  що складає 76% та 92% вiдповiдно. Встановленi тарифи без їх застосування для категорiї населення не можуть покрити витрати на надання послуг всiм категорiям споживачiв.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результати дiяльностi Товариства у звiтному перiодi, суттєво вплинули зовнiшнi чинники: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 вiйськова агресiя росiйської федерацiї, що привела до введення на територiї України воєнного стану з 24.02.2022 року, який продовжує дiяти i в 2025роцi;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пiдвищення цiн та тарифiв на нергоносiї, покупнi товари та послуги;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вiдсутнiсть компенсацiї з боку держави з рiзницi в тарифах.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Фiнансове становище Товариства є незадовiльним, що спричинено низкою факторiв, якi не залежать вiд Товариства, насамперед низьким рiвнем вiдшкодування виробничих витрат та вартостi енергоносiїв у тарифах на послуги теплопостачання та теплову енергiю i недостатнiм рiвнем оплати зазначених послуг споживачами.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Постiйна змiна цiн на енергоносiї та iншi складовi тарифу, недосконалiсть нормативно-правової бази, яка регулює питання цiноутворення надання послуг у сферi теплопостачання на державному рiвнi, призвело до того, що Товариство, здiйснюючi вичерпний ряд заходiв задля недопущення збитковостi, накопичує  збитки, не маючи шляхiв для їх компенсування.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Крiм того в зв'язку з низькою платоспроможнiстю споживачiв, заборгованiсть за наданi комунальнi послуги та поставлену теплову енергiю перед Товариством станом на 31.12.2025 року складала майже 266 млн. грн. (на 31.12.2024 року - майже 271 млн. грн.), вона дещо зменшилась, але в цiлому не вплинула на фiнансовий стан Товариства. Для запобiгання зростання заборгованостi Товариством постiйно проводиться роз'яснювальна та досудова робота зi споживачами щодо важливостi та необхiдностi повного та вчасного розрахунку за наданi послуги, а також стягнення наявної дебiторської заборгованостi у судовому порядку. Перiод оборотностi дебiторської заборгованостi (показник дiлової активностi) зменшився iз 114,3 днiв на 31.12.2024 до 109,4 днiв станом на 31.12.2025, що означає пiдвищення ефективностi управлiння дебiторською заборгованiстю та прискорення проведення розрахункiв споживачами.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 метою покриття збиткiв, пов'язаних з неможливiстю застосування економiчно обгрунтованого тарифу для категорiї споживачiв "населення", Товариством вiдповiдно до дiючих нормативних документiв здiйснюється розрахунок рiзницi в тарифах та подача документацiї для її затвердження до територiальної комiсiї з питань узгодження заборгованостi з рiзницi в тарифах (далi - територiальна комiсiя), вiдповiдно до постанови КМУ вiд 15 вересня 2021 р. № 977 "Про затвердження Методики визначення заборгованостi з рiзницi в тарифах". Товариству були погодженi розрахунки обсягiв заборгованостi з рiзницi в тарифах, яка станом на 01.01.2025 року становить 867 289 тис.грн. Зазначена заборгованiсть Товариству не профiнансована.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Так, за перiод з 01.01.2025 по 31.12.2025 територiальною комiсiєю затверджено рiзниця в тарифах у сумi 339878,2 тис. грн. Станом на 31.12.2025 погодженi розрахунки обсягiв заборгованостi з рiзницi в тарифах в обсязi 1194283,3 тис.грн. Зазначена заборгованiсть Товариству не профiнансована.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Загальна маса активiв, якi знаходились у розпорядженнi АТ "ОТКЕ", за 2025 рiк зросла на 460285 тис. грн i становить станом на 31.12.2025 р. 1354547 тис. грн. В складi яких необоротнi активи складають 50,5% .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Вартiсть чистих активiв станом на 31.12.2025року становить  вiд'ємне значення. Станом на 31.12.2025 та станом на 31.12.2024 умова перевищення вартостi чистих активiв над розмiром статутного капiталу Товариством не дотримується.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Керiвництво Товариства не iнiцiювало i не планує iнiцiювати анi зменшення свого статутного капiталу, анi процедуру лiквiдацiї, оскiльки вважає, що: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фiнансова стабiльнiсть буде досягнута i вартiсть чистих активiв зросте в сумi, достатнiй для покриття зареєстрованого статутного капiталу, при сприятливiй полiтицi держави, щодо регулювання цiн i тарифiв на послуги Товариства та встановлення справедливих цiн на енергоносiї, а також завдяки заходам, якi вживаються Товариством стосовно скорочення i оптимiзацiї витрат;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 вiдсутностi чiткої нормативної бази та судової практики по вiдношенню до даного питання, процедура лiквiдацiї Товариства за iнiцiативою державних органiв України є малоймовiрною.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Треба вiдзначити що Урядом прийнято ряд нормативно-правових актiв для нормалiзацiї становища у сферi теплопостачання, а саме: Закон України "Про особливостi регулювання вiдносин на ринку природного газу та у сферi теплопостачання пiд час дiї воєнного стану та подальшого вiдновлення їх функцiонування", що вводить мораторiй на пiдвищення цiн (тарифiв) на ринку природного газу та у сферi теплопостачання (ч.1 ст.1); надає гарантiї суб'єктам господарювання, що здiйснюють дiяльнiсть у сферi теплопостачання, щодо компенсування рiзницi в тарифах на виробництво, транспортування та постачання теплової енергiї, на теплову енергiю, послуги з централiзованого опалення та централiзованого постачання гарячої води, послуги з постачання теплової енергiї та постачання гарячої води, що пiдлягає врегулюванню на умовах та в порядку, визначених Законом України "Про заходи, спрямованi на врегулювання заборгованостi теплопостачальних та теплогенеруючих органiзацiй та пiдприємств централiзованого водопостачання i водовiдведення"(ч.1 статтi 2); встановлює механiзм фiнансування гарантiй i компенсацiй передбачених статтею 2 цього Закону (здiйснюється за рахунок видаткiв державного бюджету за цiльовим призначенням, що передбачаються Законом України "Про Державний бюджет України"). Закон України "Про заходи, спрямованi на врегулювання заборгованостi теплопостачальних та теплогенеруючих органiзацiй та пiдприємств централiзованого водопостачання i водовiдведення", що визначає комплекс органiзацiйних та економiчних заходiв, спрямованих на забезпечення сталого функцiонування теплопостачальних та теплогенеруючих органiзацiй та пiдприємств централiзованого водопостачання i водовiдведення.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Дослiдження i iновацiї</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Власних дослiджень  та розробок Товариство не проводить. Товариство працює над iнновацiями в сферi розробки каналiв для обмiну iнформацiєю iз споживачами, над впровадженням клiєнт орiєнтованих сервiсiв. Проводиться активна робота по залученню клiєнтiв до використання онлайн-сервiсiв teplo.cn.ua</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Соцiальнi аспекти.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Умови працi в Товариствi задовiльнi. Середньооблiкова чисельнiсть працiвникiв Товариства в 2025 становила 878 особи (в 2024 роцi - 851 осiб). В тому числi жiнок - 258осiб (30,3%). Кiлькiсть жiнок на керiвних посадах - 19. Кiлькiсть працiвникiв, якi працюють на умовах повного робочого дня - 660 осiб, кiлькiсть працiвникiв, якi працюють на умовах неповного робочого дня/тижня  - 22 осiб. Середня кiлькiсть працiвникiв збiльшилася в порiвняннi з попереднiм звiтним перiодом на 27 осiб (в 2021 роцi працювало 933 особи), кiлькiсть працюючих наблизилася до довоєнного рiвня.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Витрати на оплату працi у 2025 роцi склали 212863 тис. грн. (у 2024 роцi - 199393тис. грн.). Збiльшення витрат на оплату працi вiдбулося на 13470 тис. грн. (6,7%) в  зв'язку зi збiльшенням кiлькостi працюючих.</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Керiвництвом Товариства здiйснюються заходи щодо забезпечення рiвня квалiфiкацiї працiвникiв у вiдповiдностi до потреб пiдприємства. Працiвники проходять курси пiдвищення квалiфiкацiї у разi необхiдностi, в тому числi з охорони працi та пожежної безпеки. Полiтика Товариства стосовно адмiнiстративних, управлiнських та наглядових органiв пiдприємства: спецiальнi вимоги до вiку та статi управлiнського персоналу, а також членiв адмiнiстративних, управлiнських та наглядових органiв Товариства вiдсутнi. Кандидат на посаду або особа, яка обiймає певну посаду, повинна мати такий рiвень освiти, професiйного досвiду та володiти такими знаннями та навичками, якi дозволять ефективно виконувати покладенi на неї обов'язки. Також Товариство заохочує пiдвищення професiйного рiвня працiвникiв шляхом їх участi у семiнарах, конференцiях, форумах, вебiнарах. Метою такої полiтики Товариства є уникнення будь-якої нерiвностi за гендерною, вiковою, статевою або iншою ознакою. Товариство успiшно реалiзує таку полiтику та, як результат, має штат висококвалiфiкованих фахiвцiв у всiх сферах своєї дiяльностi.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дотримується принципiв справедливостi й поваги по вiдношенню до своїх спiвробiтникiв та забезпечує їм можливостi для кар'єрного росту у вiдповiдностi до їх потенцiалу.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Товариством виконуються вимоги Закону України "Про основи соцiальної захищеностi осiб з iнвалiднiстю в Українi". Так, кiлькiсть працевлаштованих осiб з iнвалiднiстю станом на 31 грудня 2025 року становила 8 % при  встановленому  нормативi в 4%.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соцiальним аспектом дiяльностi Товариства є забезпечення безпечних умов працi. Для здiйснення органiзацiйно-методичної роботи i координацiї дiяльностi всiх структурних пiдроздiлiв Товариства щодо забезпечення здорових i безпечних умов працi, а також здiйснення контролю за станом охорони працi на робочих мiсцях, в Товариствi створена служба охорони працi. Робота з охорони працi, яка проводиться в товариствi, регламентується вимогами "Положення про службу охорони працi" та чинним законодавством України.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створило необхiднi умови працi згiдно вимог чинного законодавства. Розробленi i впровадженi Правила внутрiшнього трудового розпорядку, Положення про службу охорони працi, iнструкцiї з питань охорони працi для рiзних категорiй працiвникiв та видiв робiт. Визначена вiдповiдальнiсть за дотримання безпечних умов працi в посадових iнструкцiях працiвникiв Товариства.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Iнтереси трудового колективу у вiдносинах з Правлiнням представляє профспiлковий комiтет. Профспiлковий комiтет у межах наданих йому повноважень укладає вiд iменi трудового колективу колективний договiр з головою правлiння; узгоджує з головою правлiння перелiк та порядок надання працiвникам Товариства соцiальних та iнших пiльг; програми матерiального та морального стимулювання продуктивностi працi, заохочення винахiдницької та рацiоналiзаторської дiяльностi; тощо.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Соцiальнi та трудовi права працiвникiв гарантуються законодавством України.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Екологiчнi аспекти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окремих програмах щодо забезпечення екологiчної безпеки Товариство участi не приймає, але всi необхiднi заходи щодо збереження навколишнього середовища, якi вимагаються нормами чинного законодавства, пiдприємством виконуються. Заходи Товариства щодо полiпшення навколишнього середовища можна роздiлити за наступними напрямками: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управлiння вiдходами;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енергоефективнiсть;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пiдвищення екологiчної свiдомостi працiвникiв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Керiвництво Товариства  усвiдомлює екологiчну небезпеку вiдходiв для здоров'я населення i довкiлля в цiлому, якi утворюються  у ходi експлуатацiї автомобiльного парку, списання комп'ютерної технiки,  люмiнесцентних ламп,  тощо. Тому щороку  укладаються договори зi спецiалiзованими органiзацiями з метою утилiзацiї  вiдходiв (гуму, пластик, акумулятори, елементи живлення, люмiнесцентнi лампи, папiр тощо) для переробки та повторного використання. Протягом 2025 року проводилась робота  по  оновленню та ремонтам  обладнання , що дозволяє зменшити викиди, пiдвищити коефiцiєнт корисної дiї та скоротити  витрати  палива.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Товариствi постiйно здiйснюється технiчне переоснащення робочих мiсць спiвробiтникiв шляхом замiни застарiлої (бiльше п'яти рокiв) комп'ютерної технiки та замiни всiєї комп'ютерної технiки, яка не вiдповiдає сучасним характеристикам, та технiчним параметрам щодо енергозбереження та енергоефективностi. За рахунок проведених заходiв вiдбулась мiнiмiзацiя простоїв IТ обладнання, скорочення часу операцiй (в т.ч. час  на обслуговування  клiєнтiв), пiдвищення рiвня обслуговування сервiсiв IТ, можливiсть використання сучасного програмного забезпечення, стандартизування робочих мiсць, пiдвищення iмiджу компанiї.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звiтному перiодi деривативи не укладалися, правочини щодо похiдних цiнних паперiв не вчинялися, тому вплив вiд зазначених операцiй на оцiнку активiв, зобов'язань, фiнансового стану i доходiв або витрат Товариства вiдсутнiй.</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проаналiзувало здатнiсть Товариства продовжувати подальшу безперервну дiяльнiсть станом на кiнець звiтного перiоду та дiйшло висновку, що iснує лише один суттєвий фактор невизначеностi, який може викликати значнi сумнiви у спроможностi продовжувати безперервну дiяльнiсть, а саме подальша значна ескалацiя воєнних дiй, що може призвести до дестабiлiзацiї дiяльностi Товариства. Отже, Товариство може бути не в змозi реалiзувати свої активи та погасити зобов'язання за звичайного перебiгу господарської дiяльностi. Спираючись на цi фактори, керiвництво обгрунтовано очiкує наявнiсть у Компанiї достатнiх ресурсiв для продовження дiяльностi протягом наступних звiтних перiодiв. Керiвництво продовжить вiдстежувати потенцiйний вплив та вживатиме усiх можливих заходiв для мiнiмiзацiї будь-яких наслiдкiв. У зв'язку з непередбачуванiстю фiнансового ринку України загальна програма управлiнського персоналу щодо управлiння фiнансовими ризиками зосереджена i спрямована на зменшення їх потенцiйного негативного впливу на фiнансовий стан Товариства. Операцiї хеджування Товариством у звiтному перiодi не проводились.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Схильність особи до цінових ризиків, кредитного ризику, ризику ліквідності та/або ризику грошових потоків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як i будь-яке iнше пiдприємство, в сучасних умовах економiчного розвитку країни, з урахуванням темпiв iнфляцiї та рiвня конкуренцiї в окремих сегментах фiнансового ринку, в незначнiй мiрi є схильним до ризикiв.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Система управлiння ризиками включає:</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Iдентифiкацiю ризикiв ( виявлення),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Оцiнку ризикiв (розрахунок величини збиткiв, яких може зазнати пiдприємство),</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Нейтралiзацiю ризикiв (створення резервiв сумнiвних боргiв, страхування, створення резервного фонду).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Основнi ризики, властивi фiнансовим iнструментам, включають: ринковий ризик, ризик лiквiдностi та кредитний ризик. Керiвництво аналiзує та узгоджує полiтику управлiння кожним iз цих ризикiв, основнi принципи якої викладенi нижче.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Ринковий ризик. Всi фiнансовi iнструменти чутливi до ринкового ризику - ризику того, що майбутнi ринковi умови можуть знецiнити iнструмент. В складi ринкового ризику Товариство розглядає цiновий ризик, валютний ризик та ризик змiни вiдсоткових ставок.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Цiновий ризик. Цiновим ризиком є ризик того, що вартiсть фiнансового iнструмента буде змiнюватися внаслiдок змiн ринкових цiн. Цi змiни можуть бути викликанi факторами, характерними для окремого iнструменту або факторами, якi впливають на всi iнструменти ринку.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Валютний ризик являє собою ризик того, що справедлива вартiсть майбутнiх потокiв грошових коштiв вiд фiнансового iнструмента коливатиметься у результатi змiн курсiв обмiну валют. Валютнi операцiї не здiйснюються, але пiдприємство вiдстежує i аналiзує цей ризик, у разi його виникнення, в кожному конкретному випадку, шляхом планування та бюджетування контрактiв на закупiвлю запасiв з iмпортною складовою для того, щоб попередити та мiнiмiзувати його негативний вплив.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Ризик змiни процентних ставок пов'язаний з ймовiрнiстю змiн у вартостi фiнансових iнструментiв у зв'язку зi змiнами процентних ставок. Керiвництво Товариства не має затвердженої полiтики вiдносно визначення рiвня схильностi Товариства до ризику змiни вiдсоткової ставки по фiксованим або плаваючим ставкам вiдсотка. Проте, в разi залучення кредитiв Керiвництво прийматиме рiшення, грунтуючись на власному професiйному судженнi, яка ставка вiдсотка, фiксована, або плаваюча, буде найбiльш вигiдною для Товариства протягом перiоду, на який очiкується залучати кредитнi ресурси. На початок та кiнець звiтного року Товариство не має фiнансових зобов'язань, по яких iснують змiннi (плаваючi) вiдсотковi ставки. Внаслiдок цього для дiяльностi Товариства, не характернi ринковi ризики щодо змiн вiдсоткових ставок.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Оскiльки Товариство не має будь-яких активiв, що приносять процентний дохiд, фiнансовий результат та грошовий потiк вiд основної дiяльностi Товариства в цiлому не залежать вiд змiни ринкових вiдсоткових ставок по активах.</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Ризик лiквiдностi.  Ризик лiквiдностi виникає тодi, коли Товариство не зможе погасити свої зобов'язання при настаннi термiну їх погашення. Iснування ризику лiквiдностi спричиняється рiзними факторами. Це сезоннiсть роботи, накопичення дебiторської заборгованостi внаслiдок затримки платежiв споживачами, невигiднi умови передоплати при проведеннi розрахункiв за енергоносiї, здiйснення квазiфiскальних операцiй, тощо. Для мiнiмiзацiї впливу цього ризику Товариство використовує процедури детального бюджетування i прогнозування руху грошових коштiв, щоб забезпечити достатнiй рiвень коштiв, необхiдних для своєчасної оплати своїх зобов'язань. Вiдповiдно до планiв Товариства, його потреби в обiгових коштах задовольняються за рахунок надходження грошових коштiв вiд операцiйної дiяльностi.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Кредитний ризик. Кредитний ризик - це невиконання своїх зобов'язань стороною контракту i як наслiдок виникнення фiнансового збитку Товариства. Фiнансовi iнструменти, якi створюють суттєвi кредитнi ризики для Товариства, це грошовi кошти та їх еквiваленти i дебiторська заборгованiсть, що включає незабезпечену торгiвельну i iншу дебiторську заборгованiсть. Товариство не утримує та не випускає фiнансовi iнструменти з метою їх продажу. Кошти розмiщуються у фiнансових установах, якi на момент вiдкриття рахунку мають надiйну репутацiю та мiнiмальний ризик дефолту. Проте використання цього пiдходу не дозволяє запобiгти виникненню збиткiв у випадку бiльш суттєвих змiн на ринку. Товариство здiйснює торговi операцiї тiльки з перевiреними i платоспроможними клiєнтами. Iншi ризики вiдстежуються i аналiзуються у кожному конкретному випадку.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Мета управлiння фiнансовими ризиками є їх мiнiмiзацiя або мiнiмiзацiя  їх наслiдкiв.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1) звіт про корпоративне управління</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1500"/>
        <w:gridCol w:w="4500"/>
      </w:tblGrid>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Відповідність практики (Так/Ні)</w:t>
            </w:r>
          </w:p>
        </w:tc>
        <w:tc>
          <w:tcPr>
            <w:tcW w:w="45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Опис наявної практики/обґрунтування відхилення</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1. Цілі особи</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Вiдповiдно до Статуту Товариство Товариство створено з метою здiйснення пiдприємницької дiяльностi для одержання прибутку товариством, задоволення потреб споживачiв в продукцiї та послугах товариства, а також в iнтересах акцiонерiв Товариства.</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2. Акціонери та стейкхолдери</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Статутом передбачений весь обсяг прав акцiонерiв, визначений законом.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Статутом передбачений однаковий обсяг прав акцiонерiв вiдповiдно до закону незалежно вiд кiлькостi акцiй, якими вони володiють. </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1) загальні збори акціонерів</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Повiдомлення про проведення Загальних зборiв акцiонерiв надсилається та оприлюднюється не пiзнiше нiж за 30 днiв до дня проведення Загальних зборiв акцiонерiв. Вiд дати надсилання повiдомлення Товариство або акцiонери, якi скликають Загальнi збори акцiонерiв, надають акцiонерам можливiсть ознайомитись з документами, необхiдними для прийняття рiшень з питань, включених до проєкту порядку денного та порядку денного, а також проєктiв рiшень щодо них.</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Біографічні дані про кандидатів до складу 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Бiографiчнi данi про кандидатiв до складу органiв управлiння розкриваються у бюлетенi для кумулятивного голосування (у випадку обрання членiв наглядової ради), який згiдно чинного законодавства оприлюднюється (розкривається) не пiзнiше нiж за 4 днi до дати зборiв. В разi прийняття Загальними зборами та Наглядовою радою рiшення про змiну iнших посадових осiб Товариства, бiографiчнi данi розкриваються в особливiй iнформацiї, яка оприлюднюється на сайтi Товариства пiсля прийняття рiшення.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Для вирiшення будь-яких питань, що належать до компетенцiї Загальних зборiв акцiонерiв, можуть проводитися дистанцiйнi Загальнi збори акцiонерiв. У такому разi, волевиявлення акцiонерiв фiксується шляхом опитування, що проводиться через депозитарну систему України. Документи, необхiднi для прийняття рiшень з питань, включених до проєкту порядку денного та порядку денного, надаються акцiонеру в тому числi в електроннiй формi на його запит, який був направлений акцiонером на офiцiйну електронну пошту Товариства.</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Статутом не передбачається обов'язкова участь керiвника, фiнансового директора i зовнiшнього аудитора у рiчних загальних зборах. На очних Загальних зборах за запрошенням особи, яка скликає Загальнi збори, можуть бути присутнi  голова та членi правлiння, представник аудитора, iншi посадовi особи Товариства, незалежно вiд володiння ними акцiями товариства, члени наглядової ради. Загальнi збори акцiонерiв можуть в будь-який час розглянути процедурнi питання щодо запрошення бути присутнiми на зборах третiм особам - представникам органiв державної влади та управлiння, засобiв масової iнформацiї, а також iнших особам, якi не є акцiонерами товариства. Запрошенi особи зазначаються в протоколi Загальних зборiв.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Акцiонери, якi беруть участь в очних Загальних зборах акцiонерiв, мають можливiсть ставити уснi та/або письмовi запитання стосовно питань порядку денного i отримувати вiдповiдi на них. Розгляд питань порядку денного очних Загальних зборiв вiдбувається за регламентом.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Регламент проведення загальних зборiв акцiонерiв визначено Положенням про загальнi збори акцiонерiв.</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Протокол Загальних зборiв акцiонерiв протягом 5 робочих днiв з дня його складення, але не пiзнiше 10 днiв з дати проведення Загальних зборiв акцiонерiв, розмiщується на вебсайтi Товариства разом з протоколами про пiдсумки голосування на загальних зборах акцiонерiв.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Вебсайт особи забезпечує надання всiєї iнформацiї, яка необхiдна акцiонерам для сприяння їх участi у загальних зборах, та iнформування про рiшення, ухваленi пiд час загальних зборiв. </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Адреса веб-сайту: http://www.otke.cn.ua</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2) взаємодія з акціонерами</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Окрема полiтика Радою не затверджувалася, взаємодiя емiтента  з акцiонерами вiдбувається згiдно чинного законодавства.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Вiддiл з питань взаємодiї з iнвесторами/акцiонерами не створений. Функцiї по взаємодiї з iнвесторами/акцiонерами здiйснює виконавчий орган та наглядова рада в межах їх повноважень. Акцiонери/iнвестори не мають перешкод при зверненнi до емiтента.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3) поглинання</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Радою визначено принципи, як вона діятиме у разі пропозиції щодо поглинання, зокрема:</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 не вчиняти дії щодо протидії поглинанню без відповідного рішення загальних зборів;</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б) надавати акціонерам збалансований аналіз недоліків і переваг будь-якої пропозиції щодо поглинання;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Наглядовою радою не затверджувались внутрiшнi нормативнi документи, якими б були визначенi принципи щодо дiй у разi пропозицiї щодо поглинання Товариства.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 xml:space="preserve">4) інші стейкхолдери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Товариством не затверджено полiтику взаємодiї зi стейкхолдерами.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Особою визначено перелік своїх 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Товариством не визначено перелiк своїх стейкхолдерiв, в тому числi тих, з якими необхiдно налагодити безпосередню взаємодiю.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Особа розкриває звіт щодо аспектів 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Товариство не розкриває звiт щодо аспектiв взаємодiї зi стейкхолдерами.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3. Наглядова рада</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Члени наглядової ради не входять до складу наглядових рад у бiльш нiж 3 iнших юридичних особах.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У протоколi засiдання Наглядової ради зазначаються присутнi на засiданнi члени Наглядової ради, iнформацiя щодо кворуму, а також запрошенi на засiдання особи. Комiтети в складi наглядової ради не створено. Окремий облiк вiдвiдувань не ведеться.</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Статутi та внутрiшнiх положеннях Товариства не визначено обов'язок членiв наглядової ради сумлiнно виконувати свої функцiї i дотримуватися принципу лояльностi стосовно Товариства.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Вiдповiдно до статуту Наглядовiй радi та її членам забезпечена можливiсть доступу до будь-якої iнформацiї, яка необхiдна їй для ефективного виконання своїх обов'язкiв. Члени наглядової ради мають можливiсть безпосередньо взаємодiяти з головою правлiння товариства, ознайомлюватися з документами та iнформацiєю з питань дiяльностi товариства, отримувати iнформацiю вiд посадових осiб Товариства з питань, що виникають у зв'язку з виконанням ними функцiональних обов'язкiв.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Наглядова рада здiйснює систематичний контроль за дiяльнiстю емiтента та його Виконавчого органу шляхом проведення засiдань, доведення планiв, заслуховування звiтiв виконавчого органу щодо їх виконання. Наглядова рада регулярно розглядає звiти голови правлiння та затверджує рiчний звiт виконавчого органу.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Статут Товариства визначає та розмежовує компетенцiї Наглядової ради та виконавчого органу. Вiдповiдно до Статуту Наглядова рада не бере участi в поточному управлiннi товариством.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Кiлькiсний склад наглядової ради i навички членiв наглядової ради вiдповiдають потребам особи, її розмiру та ступеню складностi її дiяльностi.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Квалiфiкацiйнi вимоги до кандидатiв у члени наглядової ради окремим документом не визначенi.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Члени Наглядової ради обираються Загальними зборами акцiонерiв шляхом кумулятивного голосування серед кандидатiв, запропонованих акцiонерами та особами, якi мають на це право,  акцiонерами, якi зареєструвалися для участi у Загальних зборах та є власниками голосуючих iз зазначеного питання акцiй згiдно чинного законодавства. Члени Наглядової ради обираються Загальними зборами у складi трьох осiб на строк - три роки.  При вiдборi  та призначеннi членiв наглядової ради враховуються професiйнi якостi, досягнення i вiдповiдностi кандидатiв конкретним критерiям, а також з урахуванням необхiдностi перiодичного оновлення складу.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наявна формалізована процедура перевірки кандидатів у члени наглядової ради, яка зокрема включає перевірку добропорядності, 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Товариствi вiдсутня формалiзована процедура перевiрки кандидатiв у члени наглядової ради. Наглядова рада перевiряє добропоряднiсть, наявнiсть конфлiкту iнтересiв, компетентнiсть, навички i досвiд кандидата без застосування формалiзованої процедури, а виключно на пiдставi вимог чинного законодавства.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Процедура відбору передбачає можливість залучення зовнішніх 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Внутрiшнi нормативнi документи Товариства (статут) не передбачають залучення зовнiшнiх радникiв та/або процес вiдкритого пошуку.</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Не заборонено внутрiшнiми документами товариства. Вiдхилення понад визначенi законодавством вимоги вiдсутнi.</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Внутрiшнiми документами Товариства розроблення планiв наступництва для членiв наглядової ради та виконавчого органу не передбачено.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не затверджувала полiтику щодо рiзноманiття складу наглядової ради та виконавчого органу.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Кiлькiсть членiв наглядової ради 3 особи: 2 чоловiки та 1 жiнка. Представники однiєї статi складають 33,33%, iншої - 66,67 %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Незалежнi члени наглядової ради вiдсутнi. Наявнiсть незалежних членiв наглядової ради не є обов'язковою для цього товариства.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Члени наглядової ради проходять вступний тренінг після їх обрання, який серед іншого покриває:</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 обов'язки, функції і сфери відповідальності членів наглядової ради;</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б) незалежність, включаючи незалежність мислення;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порядок роботи наглядової ради;</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 питання відповідальності;</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ґ) питання стратегії особи;</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 політики особи, включаючи питання етики, конфлікту інтересів та запобігання корупції;</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е) питання звітності та систем контролю, включаючи внутрішній та зовнішній аудит;</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Члени наглядової ради не проходять вступний тренiнг пiсля їх обрання.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розробляє план навчання, який визначає, з яких питань необхідно пройти додаткове навчання її членам</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не розробляє план навчання для її членiв.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Незалежнi члени наглядової ради вiдсутнi.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Голові наглядової ради забезпечено можливість для комунікації з 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Всiм членам наглядової ради забезпечено можливiсть для комунiкацiї з акцiонерами, в тому числi мажоритарними. Обмежень немає</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Функцiї наглядової ради визначаються у внутрiшнiх документах особи: статутi та положеннi про наглядову раду</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Наглядовою радою 15.09.2023р. прийнято рiшення про обрання корпоративного секретаря </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1) комітети наглядової ради</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Комiтети наглядовою радою не створювалися.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Комiтет з питань  аудиту   не створювався.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Члени комітету з питань аудиту не 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Комiтет з питань  аудиту   не створювався.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Комiтет з призначень   не створювався.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Комiтет з питань  винагороди не створювався.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Комiтет з питань  ризикiв не створювався.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4. Виконавчий орган</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правлiння розробляє стратегiчний план розвитку та показники результативностi товариства, рiчний фiнансовий план та звiт про його виконання, рiчний iнвестицiйний план, iнвестицiйний план на середньострокову перспективу (три - п'ять рокiв), якi затверджуються рiшенням Наглядової ради.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визначає ключові показники ефективності 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визначає ключовi показники ефективностi правлiнню та контролює рiвень виконання.</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Виконавчий орган регулярно звітує Наглядовій раді про прогрес у 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Голова правлiння регулярно звiтує наглядовiй радi про роботу товариства та результати дiяльностi </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Голова правлiння iнформує наглядову раду про подiї, якi сталися мiж засiданнями наглядової ради. Будь-якi значнi подiї в життi Товариства попередньо погоджуються з Наглядовою радою</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6. Винагорода</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Згiдно з рiшенням рiчних Загальних зборiв акцiонерiв, на яких обрано членiв наглядової ради,  члени Наглядової ради виконують свої згiдно договорiв, укладених з ними. </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Голова правлiння отримує фiксовану винагороду згiдно штатного розпису. Не надано згоди на розголошення її розмiру. Вiдхилення понад визначенi законодавством вимоги вiдсутнi.</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Голова правлiння отримує заробiтну плату згiдно штатного розпису. Додаткову винагороду не отримує.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Винагорода членів ради (невиконавчих директорів) є 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7. Розкриття інформації і прозорість</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Полiтика щодо розкриття iнформацiї вiдсутня. Товариство визначає iнформацiю, яка розкривається та оприлюднюється згiдно iз чинним законодавством.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затверджує рiчну iнформацiю емiтента, в тому числi рiчну фiнансову звiтнiсть вiдповiдно до нацiональних положень (стандартiв) фiнансової звiтностi. Фiнансова звiтнiсть вiдповiдно до мiжнародних стандартiв фiнансової звiтностi не складається.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Адреса вебсайту особи містить окремий розділ, присвячений 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Веб-сайт товариства мiстить окремий роздiл, присвячений виключно питанням корпоративного управлiння.</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8. Система контролю і стандарти етики</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створена система внутрішнього контролю, яка 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Система внутрiшнього контролю i управлiння ризиками визначає всi внутрiшнi правила та процедури контролю, запровадженi керiвництвом Товариства для досягнення поставленої мети - забезпечення (в межах можливого) стабiльного i ефективного функцiонування Товариства, дотримання внутрiшньогосподарської полiтики, збереження та рацiонального використання активiв Товариства, запобiгання та викриття фальсифiкацiй та помилок, точностi i повноти бухгалтерських записiв, своєчасної пiдготовки надiйної фiнансової iнформацiї. Особами, вiдповiдальними за ведення бухгалтерського облiку Товариства, є голова правлiння та головний бухгалтер Товариства. Окремого Положення про "Системи внутрiшнього контролю" в Товариствi немає.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Товариства має змогу залучити тiльки зовнiшнього аудитора. Пiдроздiл внутрiшнього аудиту (внутрiшнiй аудитор) в Товариствi не створено.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Данi функцiї виконують виконавчий орган та наглядова рада</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затверджено політику з 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Окремого Положення про "Систему управлiння ризиками емiтента" в Товариствi немає, оскiльки його обов'язкова наявнiсть не передбачена чинним законодавством. Управлiння ризиками Товариства являє собою безперервний процес, що охоплює Товариство; здiйснюється спiвробiтниками на всiх рiвнях; використовується при розробцi та формуваннi стратегiї; нацiлене на визначення подiй, якi можуть впливати на Товариство та управлiння ризиками таким чином, щоб вони не перевищували готовностi Товариства йти на ризик; дає керiвництву розумну гарантiю досягнення цiлей. Серед способiв усунення ризикiв можна виокремити наступнi: а) уникнення ризику - ухилення вiд заходiв, пов'язаних з ризиком; б) утримання ризику - залишення ризику за iнвестором, тобто на його вiдповiдальнiсть; в) зниження ступеня ризику - зменшення iмовiрностi та обсягу втрат.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Декларацiя схильностi до ризикiв в Товариствi не затверджувалася.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Рада (невиконавчі директори ради 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Звiт щодо управлiння ризиками Наглядова рада не розглядає.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Кодекс етики в Товариствi не затверджувалася. Посадовi особи органiв Товариства керуються Статутом Товариства та загальними моральними принципами, нормами i правилами поведiнки.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забезпечено можливість 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Процедура анонiмного повiдомлення про неправомiрну поведiнку не передбачена внутрiшнiми документами Товариства, але Товариство сприяє безпечному повiдомленню будь-якої особи про неправомiрну та/або неетичну поведiнку та вживає заходiв щодо запобiгання неправомiрної та/або неетичної поведiнки посадових осiб Товариства.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Окремого документу про полiтику щодо запобiгання корупцiї не затверджено, але Товариство здiйснює свою дiяльнiсть iз дотриманням антикорупцiйного законодавства.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затверджено та оприлюднено політику щодо конфлікту інтересів, яка покриває такі питання: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 конфлікту інтересів, запобігання і управління конфліктом інтересів;</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б) правочинів із заінтересованістю;</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інсайдерської торгівлі; та</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Окремого документу, який регулює полiтику конфлiкту iнтересiв, в Товариствi немає. Питання, пов'язанi з конфлiктом iнтересiв, визначаються у цивiльно-правових договорах, трудових договорах (контрактах), що укладаються з членами Наглядової ради та головою правлiння. Вiдповiдно до чинного законодавства посадовi особи зобов'язанi уникати конфлiкту iнтересiв, утримуватися вiд прийняття благ вiд третiх осiб, повiдомляти про заiнтересованiсть у правочинi. Посадовi особи Товариства мають уникати конфлiкту iнтересiв, зокрема, уникати ситуацiй, в яких у них iснує або може виникнути прямий чи опосередкований iнтерес щодо використання майна, iнформацiї або можливостей товариства, якщо такий iнтерес суперечить або може суперечити iнтересам товариства та задоволення такого iнтересу призводить чи може призвести до заподiяння шкоди товариству. Про виникнення конфлiкту iнтересiв посадовi особи Товариства мають невiдкладно письмово повiдомити голову правлiння або Наглядову раду.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sz w:val="24"/>
                <w:szCs w:val="24"/>
              </w:rPr>
            </w:pPr>
            <w:r w:rsidRPr="0058181D">
              <w:rPr>
                <w:rFonts w:ascii="Times New Roman CYR" w:eastAsiaTheme="minorEastAsia" w:hAnsi="Times New Roman CYR" w:cs="Times New Roman CYR"/>
                <w:b/>
                <w:bCs/>
                <w:sz w:val="24"/>
                <w:szCs w:val="24"/>
              </w:rPr>
              <w:t>9. Оцінка корпоративного управління</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 особі формалізована процедура 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Щорiчна самооцiнка членами Наглядової ради не проводиться. Вiдхилення понад визначенi законодавством вимоги вiдсутнi.</w:t>
            </w: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Щорiчна самооцiнка членами Наглядової ради не проводиться. </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Вiдхилення понад визначенi законодавством вимоги вiдсутнi.</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Щорiчна самооцiнка членами Наглядової ради не проводиться. Вiдхилення понад визначенi законодавством вимоги вiдсутнi.</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2. Інформація про загальні збори акціонерів (учасників) та загальний опис прийнятих на таких зборах рішень: 2 (2)</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Дата проведення</w:t>
            </w:r>
          </w:p>
        </w:tc>
        <w:tc>
          <w:tcPr>
            <w:tcW w:w="7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25.04.2025</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Спосіб проведення</w:t>
            </w:r>
          </w:p>
        </w:tc>
        <w:tc>
          <w:tcPr>
            <w:tcW w:w="7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очне голосування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електронне голосування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X</w:t>
            </w:r>
            <w:r w:rsidRPr="0058181D">
              <w:rPr>
                <w:rFonts w:ascii="Times New Roman CYR" w:eastAsiaTheme="minorEastAsia" w:hAnsi="Times New Roman CYR" w:cs="Times New Roman CYR"/>
                <w:sz w:val="24"/>
                <w:szCs w:val="24"/>
              </w:rPr>
              <w:tab/>
              <w:t>опитування (дистанційно)</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Суб'єкт скликання</w:t>
            </w:r>
          </w:p>
        </w:tc>
        <w:tc>
          <w:tcPr>
            <w:tcW w:w="7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загальнi збори акцiонерiв були проведенi вiдповiдно до статтi 58 Закону України "Про акцiонернi товариства"</w:t>
            </w:r>
          </w:p>
        </w:tc>
      </w:tr>
      <w:tr w:rsidR="0058181D" w:rsidRPr="0058181D">
        <w:tblPrEx>
          <w:tblCellMar>
            <w:top w:w="0" w:type="dxa"/>
            <w:bottom w:w="0" w:type="dxa"/>
          </w:tblCellMar>
        </w:tblPrEx>
        <w:trPr>
          <w:trHeight w:val="200"/>
        </w:trPr>
        <w:tc>
          <w:tcPr>
            <w:tcW w:w="10000" w:type="dxa"/>
            <w:gridSpan w:val="2"/>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Питання порядку денного та прийняті рішення:</w:t>
            </w:r>
          </w:p>
        </w:tc>
      </w:tr>
      <w:tr w:rsidR="0058181D" w:rsidRPr="0058181D">
        <w:tblPrEx>
          <w:tblCellMar>
            <w:top w:w="0" w:type="dxa"/>
            <w:bottom w:w="0" w:type="dxa"/>
          </w:tblCellMar>
        </w:tblPrEx>
        <w:trPr>
          <w:trHeight w:val="200"/>
        </w:trPr>
        <w:tc>
          <w:tcPr>
            <w:tcW w:w="10000" w:type="dxa"/>
            <w:gridSpan w:val="2"/>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 Звiт Наглядової ради Товариства за 2024 рiк та прийняття рiшення за результатами розгляду такого звiту.</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Прийняте рiшення: Затвердити звiт Наглядової ради Товариства за 2024 рiк.</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 Розгляд висновкiв аудиторського звiту суб'єкта аудиторської дiяльностi за 2024 рiк та затвердження заходiв за результатами розгляду такого звiту.</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Прийняте рiшення: Затвердити заходи за результатами розгляду звiту суб'єкта аудиторської дiяльностi за 2024 рiк.</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3. Затвердження результатiв фiнансово-господарської дiяльностi (рiчної фiнансової звiтностi) Товариства за 2024 рiк.</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Прийняте рiшення: Затвердити результати фiнансово-господарської дiяльностi (рiчну фiнансову звiтнiсть) Товариства за 2024 рiк.</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4. Затвердження порядку покриття збиткiв Товариства за 2024 рiк.</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Прийняте рiшення: Збиток, отриманий Товариством у 2024 роцi, в розмiрi 328 912 тис. грн. покрити за рахунок прибуткiв майбутнiх перiодiв.</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5. Попереднє надання згоди на вчинення значних правочинiв.</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Прийняте рiшення: Надати головi правлiння Товариства (виконуючому обов'язки голови правлiння Товариства) попередню згоду на вчинення значних правочинiв, якi можуть вчинятися Товариством протягом не бiльше як одного року з дня прийняття цього рiшення: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щодо придбання природного газу, розрахункiв за придбаний природний газ граничною сукупною вартiстю до п'яти мiльярдiв гривень;</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щодо  придбання  електричної енергiї, розрахункiв за електричну енергiю сукупною вартiстю до одного мiльярда гривень;</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щодо розподiлу природного газу сукупною вартiстю до чотирьохсот мiльйонiв гривень.</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У разi вчинення товариством зазначених та iнших правочинiв за державними регульованими цiнами вiдповiдно до законодавства або вчинення  правочинiв у рамках провадження звичайної господарської дiяльностi товариства (за умови їх вчинення на ринкових умовах) гранична вартiсть таких правочинiв не обмежується.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6. Внесення змiн та доповнень до Статуту Товариства шляхом викладення його в новiй редакцiї.</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Внести змiни та доповнення до Статуту Товариства шляхом викладення в новiй редакцiї. Уповноважити Голову Правлiння Товариства Щербину Олексiя Юрiйовича пiдписати вiд iменi Товариства Статут Товариства у новiй редакцiї. Доручити Головi Правлiння Товариства Щербинi Олексiю Юрiйовичу здiйснити всi необхiднi дiї щодо державної реєстрацiї нової редакцiї Статуту Товариства (з правом передоручення).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URL-адреса протоколу загальних зборів:</w:t>
            </w:r>
          </w:p>
        </w:tc>
        <w:tc>
          <w:tcPr>
            <w:tcW w:w="7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http://www.otke.cn.ua/about.shtml</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Дата проведення</w:t>
            </w:r>
          </w:p>
        </w:tc>
        <w:tc>
          <w:tcPr>
            <w:tcW w:w="7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18.08.2025</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Спосіб проведення</w:t>
            </w:r>
          </w:p>
        </w:tc>
        <w:tc>
          <w:tcPr>
            <w:tcW w:w="7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очне голосування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ab/>
              <w:t>електронне голосування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X</w:t>
            </w:r>
            <w:r w:rsidRPr="0058181D">
              <w:rPr>
                <w:rFonts w:ascii="Times New Roman CYR" w:eastAsiaTheme="minorEastAsia" w:hAnsi="Times New Roman CYR" w:cs="Times New Roman CYR"/>
                <w:sz w:val="24"/>
                <w:szCs w:val="24"/>
              </w:rPr>
              <w:tab/>
              <w:t>опитування (дистанційно)</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Суб'єкт скликання</w:t>
            </w:r>
          </w:p>
        </w:tc>
        <w:tc>
          <w:tcPr>
            <w:tcW w:w="7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 загальнi збори акцiонерiв були проведенi вiдповiдно до статтi 58 Закону України "Про акцiонернi товариства"</w:t>
            </w:r>
          </w:p>
        </w:tc>
      </w:tr>
      <w:tr w:rsidR="0058181D" w:rsidRPr="0058181D">
        <w:tblPrEx>
          <w:tblCellMar>
            <w:top w:w="0" w:type="dxa"/>
            <w:bottom w:w="0" w:type="dxa"/>
          </w:tblCellMar>
        </w:tblPrEx>
        <w:trPr>
          <w:trHeight w:val="200"/>
        </w:trPr>
        <w:tc>
          <w:tcPr>
            <w:tcW w:w="10000" w:type="dxa"/>
            <w:gridSpan w:val="2"/>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Питання порядку денного та прийняті рішення:</w:t>
            </w:r>
          </w:p>
        </w:tc>
      </w:tr>
      <w:tr w:rsidR="0058181D" w:rsidRPr="0058181D">
        <w:tblPrEx>
          <w:tblCellMar>
            <w:top w:w="0" w:type="dxa"/>
            <w:bottom w:w="0" w:type="dxa"/>
          </w:tblCellMar>
        </w:tblPrEx>
        <w:trPr>
          <w:trHeight w:val="200"/>
        </w:trPr>
        <w:tc>
          <w:tcPr>
            <w:tcW w:w="10000" w:type="dxa"/>
            <w:gridSpan w:val="2"/>
            <w:tcBorders>
              <w:top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 Розгляд звiту правлiння за наслiдками зменшення власного капiталу Товариства та про заходи щодо покращення його фiнансового стану.</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Прийняте рiшення: Взяти до вiдома звiт виконавчого органу за наслiдками зменшення власного капiталу Товариства.</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 Затвердження заходiв, якi мають бути вжитi для покращення фiнансового стану Товариства.</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Прийняте рiшення: Затвердити заходи, якi мають бути вжитi для покращення фiнансового стану Товариства.</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b/>
                <w:bCs/>
                <w:sz w:val="24"/>
                <w:szCs w:val="24"/>
              </w:rPr>
              <w:t>URL-адреса протоколу загальних зборів:</w:t>
            </w:r>
          </w:p>
        </w:tc>
        <w:tc>
          <w:tcPr>
            <w:tcW w:w="7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http://www.otke.cn.ua/about.shtml</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4. Рада</w:t>
      </w: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Персональний склад ради та її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150"/>
        <w:gridCol w:w="1150"/>
        <w:gridCol w:w="1150"/>
        <w:gridCol w:w="1150"/>
        <w:gridCol w:w="1150"/>
        <w:gridCol w:w="1250"/>
      </w:tblGrid>
      <w:tr w:rsidR="0058181D" w:rsidRPr="0058181D">
        <w:tblPrEx>
          <w:tblCellMar>
            <w:top w:w="0" w:type="dxa"/>
            <w:bottom w:w="0" w:type="dxa"/>
          </w:tblCellMar>
        </w:tblPrEx>
        <w:trPr>
          <w:trHeight w:val="200"/>
        </w:trPr>
        <w:tc>
          <w:tcPr>
            <w:tcW w:w="3000" w:type="dxa"/>
            <w:vMerge w:val="restart"/>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Ім'я члена ради,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Голова/ заступник голови ради</w:t>
            </w:r>
          </w:p>
        </w:tc>
        <w:tc>
          <w:tcPr>
            <w:tcW w:w="3550" w:type="dxa"/>
            <w:gridSpan w:val="3"/>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ab/>
              <w:t>Голова / член комітету ради</w:t>
            </w:r>
          </w:p>
        </w:tc>
      </w:tr>
      <w:tr w:rsidR="0058181D" w:rsidRPr="0058181D">
        <w:tblPrEx>
          <w:tblCellMar>
            <w:top w:w="0" w:type="dxa"/>
            <w:bottom w:w="0" w:type="dxa"/>
          </w:tblCellMar>
        </w:tblPrEx>
        <w:trPr>
          <w:trHeight w:val="200"/>
        </w:trPr>
        <w:tc>
          <w:tcPr>
            <w:tcW w:w="3000" w:type="dxa"/>
            <w:vMerge/>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комітету - 2</w:t>
            </w:r>
          </w:p>
        </w:tc>
        <w:tc>
          <w:tcPr>
            <w:tcW w:w="12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комітету - 3</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Берко Наталiя Вiталiївна (акцiонер) 01.01.2025 - 31.12.2025</w:t>
            </w: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2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Ємець Олег Володимирович (акцiонер) 01.01.2025 - 31.12.2025</w:t>
            </w: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2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Бойко Олег Сергiйович (представник акцiонера), 01.01.2025-31.12.2025</w:t>
            </w: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2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проведені засідання ради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8000"/>
      </w:tblGrid>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Кількість засідань ради у звітному періоді:</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3</w:t>
            </w:r>
          </w:p>
        </w:tc>
      </w:tr>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 них очних:</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3</w:t>
            </w:r>
          </w:p>
        </w:tc>
      </w:tr>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 них заочних:</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0</w:t>
            </w:r>
          </w:p>
        </w:tc>
      </w:tr>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Опис ключових рішень ради:</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Прийняття рiшення про проведення чергових дистанцiйних загальних зборiв акцiонерiв, визначення дати, складання перелiку акцiонерiв, якi мають бути повiдомленi про скликання зборiв, визначення дати складання перелiку акцiонерiв, якi мають право на участь у загальних зборах; затвердження порядку денного зборiв, затвердження тексту повiдомлення про збори; затвердження форми i тексту єдиного бюлетеня для голосування (щодо iнших питань порядку денного, крiм обрання органiв товариства) з усiх питань порядку денного на рiчних загальних зборах акцiонерiв Товариства; призначення реєстрацiйної комiсiї загальних зборiв акцiонерiв, призначення лiчильної комiсiї; призначення осiб, уповноважених на взаємодiю з Центральним депозитарiєм при проведеннi зборiв; обрання Голови загальних зборiв акцiонерiв.</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Прийняття рiшення про проведення позачергових загальних зборiв акцiонерiв Товариства, визначення дати, складення перелiку акцiонерiв Товариства, якi мають бути повiдомленi про проведення позачергових загальних зборiв, затвердження порядку денного позачергових загальних зборiв, затвердження повiдомлення про проведення позачергових загальних зборiв акцiонерiв Товариства, затвердження форми та тексту єдиного бюлетеня для голосування (щодо iнших питань порядку денного, крiм обрання органiв товариства) з усiх питань порядку денного на позачергових загальних зборах акцiонерiв Товариства, призначення осiб, уповноважених взаємодiяти з Центральним депозитарiєм пiд час проведення загальних зборiв, затвердження складу реєстрацiйної комiсiї, призначення особи вiдповiдальної за ознайомлення акцiонерiв з документами, обрання Голови та секретаря позачергових загальних зборiв акцiонерiв.</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ради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ради як колегiального органу (колективної придатностi ради)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є колегiальним органом, що здiйснює захист прав акцiонерiв Товариства i в межах компетенцiї, визначеної Статутом Товариства та Законом України "Про акцiонернi товариства", здiйснює управлiння Товариством, а також контролює та регулює дiяльнiсть Виконавчого органу Товариства. За звiтний перiод Наглядова рада Товариства виконувала повноваження в межах компетенцiї, визначеної Статутом Товариства, Положенням про Наглядову Раду, рiшеннями Загальних зборiв акцiонерiв Товариства, керуючись вимогами чинного законодавства України. Кiлькiсний склад Наглядової ради Товариства вiдповiдає потребам товариства. Навички та досвiд членiв Наглядової ради є достатнiм для забезпечення належної дiяльностi Наглядової ради. В звiтному перiодi працював склад наглядової ради, який був обраний кумулятивним голосуванням згiдно рiшення загальних зборiв акцiонерiв, якi були проведенi дистанцiйно 30.06.2023 р., (дата прийняття рiшення - 14.07.2023 - дата оформлення протоколу загальних зборiв акцiонерiв) на пiдставi Закону України "Про акцiонернi товариства" в кiлькостi трьох осiб.</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кожного члена ради, включаючи iнформацiю про його дiяльнiсть як посадової особи iнших юридичних осiб або iншу дiяльнiсть - оплачувану i безоплатну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Всi члени наглядової ради приймали активну участь в засiданнях наглядової ради. В iнших юридичних особах голова та члени наглядової ради керiвних посад не обiймають. З членами наглядової ради Товариством укладено цивiльно-правовi договори, якими визначено порядок роботи, права та обов'язки сторiн, вiдповiдальнiсть членiв та голови наглядової ради. Члени наглядової ради отримують винагороду в порядку, затвердженому загальними зборами акцiонерiв згiдно договорiв, укладених з членами наглядової ради. Винагорода членiв наглядової ради визначається положенням "Про наглядову Раду".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незалежностi кожного з незалежних членiв ради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Незалежнi директори до складу наглядової ради не обиралися. Члени наглядової ради не знаходяться пiд будь-яким впливом акцiонерiв та/або голови правлiння Товариства та/або iнших осiб при прийняттi рiшення на засiданнях наглядової ради i є незалежними у своїх судженнях.</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оцiнка компетентностi та ефективностi кожного з комiтетiв ради, їхнi функцiональнi повноваження. При цьому, комiтет ради з питань аудиту окремо має зазначати iнформацiю про свої висновки щодо незалежностi проведеного зовнiшнього аудиту особи, зокрема незалежностi аудитора (аудиторської фiрми)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Комiтети у складi наглядової ради не створювалися.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5) оцiнка виконання радою поставлених цiлей особи.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 звiтний перiод Наглядова рада Товариства виконувала повноваження в межах компетенцiї, визначеної Статутом Товариства, Положенням про Наглядову Раду, рiшеннями Загальних зборiв акцiонерiв Товариства, керуючись вимогами чинного законодавства України. Наглядова Рада Товариства у звiтному перiодi забезпечила ефективний контроль за фiнансово-господарською дiяльнiстю Товариства, здiйснювала аналiз роботи Виконавчого органу Товариства. Цiлi Наглядової ради досягаються шляхом прийняття вiдповiдних рiшень на засiданнях та здiйснення контролю за їх виконанням. Засiдання наглядової ради в 2025 роцi проводились систематично, по мiрi необхiдностi.У 2025 роцi наглядовою радою Товариства засiдання проводилися шляхом безпосереднього збору членiв наглядової ради в одному мiсцi, з присутнiстю всiх членiв Наглядової ради, на яких вирiшувалися наступнi питання: прийняття рiшення про проведення чергових дистанцiйних загальних зборiв акцiонерiв; визначення дати, складання перелiку акцiонерiв, якi мають бути повiдомленi про скликання зборiв; затвердження порядку денного зборiв; затвердження тексту повiдомлення про збори; призначення реєстрацiйної комiсiї загальних зборiв акцiонерiв; призначення лiчильної комiсiї; призначення осiб, уповноважених на взаємодiю з Центральним депозитарiєм при проведеннi зборiв.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Прийняття рiшення про проведення позачергових дистанцiйних загальних зборiв акцiонерiв; визначення дати складання перелiку акцiонерiв, якi мають бути повiдомленi про скликання зборiв; затвердження порядку денного зборiв; затвердження проектiв рiшень згiдно порядку денного зборiв; затвердження тексту повiдомлення про збори; призначення реєстрацiйної комiсiї для реєстрацiї учасникiв загальних зборiв акцiонерiв; призначення лiчильної комiсiї, обрання голови та секретаря загальних зборiв; призначення осiб, уповноважених на взаємодiю з Центральним депозитарiєм при проведеннi зборiв</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Аналiзувались звiти правлiння про результати фiнансово-господарської дiяльностi за 1 пiврiччя звiтного року та за звiтний перiод в цiлому.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Приймаючи рiшення з вищенаведених питань наглядова рада намагалась об'єктивно i всебiчно проаналiзувати суть поставленого питання, визначити доцiльнiсть його позитивного або негативного вирiшення з огляду на максимальне врахування iнтересiв акцiонерiв та Товариства. Засiдання Наглядової ради товариства проводяться таким чином, щоб забезпечити вiдкрите спiлкування, обмiн думками, участь всiх членiв та конструктивне вирiшення нагальних питань дiяльностi Товариства.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про внутрiшню структуру ради, процедури, що застосовуються при прийняттi нею рiшень, включаючи зазначення того, яким чином дiяльнiсть ради зумовила змiни у фiнансово-господарськiй дiяльностi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Кожен член Наглядової ради має пiд час голосування один голос. Рiшення Наглядової ради вважається прийнятим, якщо за нього проголосувала бiльшiсть членiв Наглядової ради, якi приймають участь у засiданнi та мають право голосу. У разi рiвностi голосiв, голос Голови Наглядової ради є вирiшальним. Вiдповiдно до ст.75 Закону України "Про акцiонернi товариства" та статуту Товариства засiдання наглядової ради, що проводились в 2025 роцi, були правомочними. З текстом протоколiв засiдань Наглядової ради та рiшеннями, що були прийнятi на цих засiданнях акцiонери можуть ознайомитись у передбаченому статутом Товариства порядку. Робота Наглядової ради Товариства в 2025 роцi є задовiльною та такою, що вiдповiдає метi та напрямам дiяльностi Товариства i положенням його установчих документiв. Рiшення, прийнятi Наглядовою радою в звiтному перiодi позитивно вiдобразилися на дiяльностi Товариства та сприяли досягненню цiлей Товариства.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виконує поставленi цiлi. Засiдання проводяться своєчасно по мiрi необхiдностi. Згiдно п. 9.15 Статуту Товариства Рiшення Наглядової ради приймається простою бiльшiстю голосiв членiв Наглядової ради, якi беруть участь у засiданнi та мають право голосу. На засiданнi Наглядової ради кожен член Наглядової ради має один голос. У разi рiвного розподiлу голосiв членiв Наглядової ради пiд час прийняття рiшень голос голови Наглядової ради є вирiшальним. Якщо член Наглядової ради є заiнтересованим у вчиненнi правочину з Товариством, то вiн не бере участь у голосуваннi (утримується) щодо вчинення такого правочину.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працюють ефективно, прийнятi ними рiшення позитивно впливають на фiнансово-господарську дiяльнiсть Товариства.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5. Виконавчий орган</w:t>
      </w: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Персональний склад колегіального виконавчого органу та його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150"/>
        <w:gridCol w:w="1150"/>
        <w:gridCol w:w="1150"/>
        <w:gridCol w:w="1150"/>
        <w:gridCol w:w="1150"/>
        <w:gridCol w:w="1250"/>
      </w:tblGrid>
      <w:tr w:rsidR="0058181D" w:rsidRPr="0058181D">
        <w:tblPrEx>
          <w:tblCellMar>
            <w:top w:w="0" w:type="dxa"/>
            <w:bottom w:w="0" w:type="dxa"/>
          </w:tblCellMar>
        </w:tblPrEx>
        <w:trPr>
          <w:trHeight w:val="200"/>
        </w:trPr>
        <w:tc>
          <w:tcPr>
            <w:tcW w:w="3000" w:type="dxa"/>
            <w:vMerge w:val="restart"/>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Ім'я члена виконавчого органу,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Голова/ заступник голови виконавчого органу</w:t>
            </w:r>
          </w:p>
        </w:tc>
        <w:tc>
          <w:tcPr>
            <w:tcW w:w="3550" w:type="dxa"/>
            <w:gridSpan w:val="3"/>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ab/>
              <w:t>Голова / член комітету виконавчого органу</w:t>
            </w:r>
          </w:p>
        </w:tc>
      </w:tr>
      <w:tr w:rsidR="0058181D" w:rsidRPr="0058181D">
        <w:tblPrEx>
          <w:tblCellMar>
            <w:top w:w="0" w:type="dxa"/>
            <w:bottom w:w="0" w:type="dxa"/>
          </w:tblCellMar>
        </w:tblPrEx>
        <w:trPr>
          <w:trHeight w:val="200"/>
        </w:trPr>
        <w:tc>
          <w:tcPr>
            <w:tcW w:w="3000" w:type="dxa"/>
            <w:vMerge/>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комітету - 2</w:t>
            </w:r>
          </w:p>
        </w:tc>
        <w:tc>
          <w:tcPr>
            <w:tcW w:w="12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комітету - 3</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Олексiй Юрiйович Щербина, 01.01.2025-31.12.2025</w:t>
            </w: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X</w:t>
            </w: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2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Андрiй Дмитрович Прохоренко, 01.01.2025-31.12.2025</w:t>
            </w: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2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Тетяна Вiкторiвна Фадєєва, 01.01.2025-31.12.2025</w:t>
            </w: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25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проведені засідання колегіального виконавчого органу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8000"/>
      </w:tblGrid>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w:t>
            </w:r>
          </w:p>
        </w:tc>
      </w:tr>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Кількість засідань колегіального виконавчого органу у звітному періоді:</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6</w:t>
            </w:r>
          </w:p>
        </w:tc>
      </w:tr>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 них очних:</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6</w:t>
            </w:r>
          </w:p>
        </w:tc>
      </w:tr>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з них заочних:</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0</w:t>
            </w:r>
          </w:p>
        </w:tc>
      </w:tr>
      <w:tr w:rsidR="0058181D" w:rsidRPr="0058181D">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Опис ключових рішень колегіального виконавчого органу:</w:t>
            </w:r>
          </w:p>
        </w:tc>
        <w:tc>
          <w:tcPr>
            <w:tcW w:w="80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Протягом звiтного перiоду засiдання правлiння проводилися регулярно, на яких вирiшувались поточнi питання фiнансово-господарської дiяльностi в тому числi: </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Прийняття рiшення щодо збiльшення статутного капiталу ТОВ "Спеценерготранс" шляхом внесення додаткового вкладу за рахунок рухомого майна/ транспортних засобiв. (27.02.2025).</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Внесення змiн до видiв економiчної дiяльностi Товариства, шляхом включення наступних видiв дiяльностi КВЕД: 30.40 "Виробництво вiйськових транспортних засобiв" та 33.11 "Ремонт i технiчне обслуговування готових металевих виробiв". (13.05.2025).</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Прийняття рiшення щодо придбання АКЦIОНЕРНИМ ТОВАРИСТВОМ "ОБЛТЕПЛОКОМУНЕНЕРГО" частки у статутному капiталi Товариства з обмеженою вiдповiдальнiстю "ЧЕРНIГIВСЬКА ГЕНЕРУЮЧА КОМПАНIЯ" у розмiрi 24,95% статутного капiталу. Уповноваження голови правлiння Щербини Олексiя Юрiйовича на пiдписання вiд iменi АКЦIОНЕРНОГО ТОВАРИСТВА "ОБЛТЕПЛОКОМУНЕНЕРГО" договору купiвлi-продажу частки у статутному капiталi Товариства з обмеженою вiдповiдальнiстю "ЧЕРНIГIВСЬКА ГЕНЕРУЮЧА КОМПАНIЯ", актiв приймання-передачi частки, а також на вчинення будь-яких iнших дiй та пiдписання будь-яких iнших документiв, необхiдних для належного оформлення та завершення придбання зазначеної частки. (14.05.2025).</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Погодження пропозицiї голови правлiння Товариства та уповноваження голови правлiння АТ "ОТКЕ" Щербини Олексiя Юрiйовича бути уповноваженою особою вiд iменi АТ "ОТКЕ" з правом приймання рiшення щодо внесення змiн до видiв економiчної дiяльностi ТОВАРИСТВА З ОБМЕЖЕНОЮ ВIДПОВIДАЛЬНIСТЮ "СПЕЦЕНЕРГОТРАНС" з внесенням вiдповiдних змiн (змiн до видiв економiчної дiяльностi, шляхом включення наступних видiв дiяльностi КВЕД: 77.11 "Надання в оренду автомобiлiв i легкових автотранспортних засобiв" та 77.12 "Надання в оренду вантажних автомобiлiв") до вiдомостей про ТОВАРИСТВО З ОБМЕЖЕНОЮ ВIДПОВIДАЛЬНIСТЮ "СПЕЦЕНЕРГОТРАНС", що мiстяться в Єдиному державному реєстрi юридичних осiб, фiзичних осiб-пiдприємцiв та громадських формувань. (05.08.2025).</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Внесення змiн до видiв економiчної дiяльностi Товариства, шляхом включення наступних видiв дiяльностi КВЕД: 66.19 "Iнша допомiжна дiяльнiсть у сферi фiнансових послуг, крiм страхування та пенсiйного забезпечення", 69.10 "Дiяльнiсть у сферi права", 69.20 "Дiяльнiсть у сферi бухгалтерського облiку й аудиту; консультування з питань оподаткування", 70.10 "Дiяльнiсть головних управлiнь (хед-офiсiв)", 70.21 "Дiяльнiсть у сферi зв'язкiв iз громадськiстю", 70.22 "Консультування з питань комерцiйної дiяльностi й керування", 78.10 "Дiяльнiсть агенств працевлаштування", 78.20 "Дiяльнiсть агенств тимчасового працевлаштування", 78.30 "Iнша дiяльнiсть iз забезпечення трудовими ресурсами", 82.11 "Надання комбiнованих офiсних адмiнiстративних послуг", 82.99 "Надання iнших допомiжних комерцiйних послуг". Уповноваження голови правлiння АКЦIОНЕРНОГО ТОВАРИСТВА "ОБЛТЕПЛОКОМУНЕНЕРГО" Щербини Олексiя Юрiйовича на здiйснення всiх необхiдних заходiв щодо реалiзацiї внесення змiн до кодiв економiчної дiяльностi. (16.10.2025).</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Розгляд питання приведення мiнiмальних гарантiй з оплати працi вiдповiдно до норм чинного законодавства. Прийняття рiшення тимчасово з 01 сiчня 2026 року по 30 червня 2026 року - на перiод подолання фiнансових труднощiв пiдприємства, залишити без змiн функцiонування норм колективного договору, що допускають оплату працi нижче вiд норм, визначених Галузевою Угодою. (26.12.2025).</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Розгляд питання про списання дебiторської заборгованостi за теплову енергiю та послуги теплопостачання. Прийняття рiшення щодо списання безнадiйної дебiторської заборгованостi. (29.12.2025).</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Розгляд питання про списання безнадiйної дебiторської та кредиторської заборгованостi. Прийняття рiшення щодо списання заборгованостi. (30.12.2025).</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Аналiз результатiв фiнансово-господарської дiяльностi, в тому числi щодо зниження вартостi чистих активiв .</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Стан роботи з охорони працi, виробничої санiтарiї i пожежної безпеки товариства.</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Розгляд заходiв щодо пiдготовки до опалювального перiоду.</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Виконання заходiв щодо пiдтримання матерiально-технiчної бази товариства у належному станi.</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Хiд виконання графiкiв щорiчних вiдпусток.</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Наради членiв правлiння проводяться щоденно. Правлiння працює ефективно, вирiшує поточнi питання оперативно, вживає заходи для покращення фiнансово-господарської дiяльностi товариства. </w:t>
            </w:r>
          </w:p>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виконавчого органу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виконавчого органу;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Товариствi дiє колегiальний виконавчий орган в кiлькостi 3-х осiб: голова правлiння та 2 члени правлiння.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Персональний склад правлiння: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w:t>
      </w:r>
      <w:r>
        <w:rPr>
          <w:rFonts w:ascii="Times New Roman CYR" w:hAnsi="Times New Roman CYR" w:cs="Times New Roman CYR"/>
          <w:sz w:val="24"/>
          <w:szCs w:val="24"/>
        </w:rPr>
        <w:tab/>
        <w:t xml:space="preserve">Олексiй Юрiйович Щербина - голова правлiння,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w:t>
      </w:r>
      <w:r>
        <w:rPr>
          <w:rFonts w:ascii="Times New Roman CYR" w:hAnsi="Times New Roman CYR" w:cs="Times New Roman CYR"/>
          <w:sz w:val="24"/>
          <w:szCs w:val="24"/>
        </w:rPr>
        <w:tab/>
        <w:t>Андрiй Дмитрович Прохоренко - член правлiння,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w:t>
      </w:r>
      <w:r>
        <w:rPr>
          <w:rFonts w:ascii="Times New Roman CYR" w:hAnsi="Times New Roman CYR" w:cs="Times New Roman CYR"/>
          <w:sz w:val="24"/>
          <w:szCs w:val="24"/>
        </w:rPr>
        <w:tab/>
        <w:t xml:space="preserve">Тетяна Вiкторiвна Фадєєва - член правлiння.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F87BA1" w:rsidRDefault="00F87BA1">
      <w:pPr>
        <w:widowControl w:val="0"/>
        <w:autoSpaceDE w:val="0"/>
        <w:autoSpaceDN w:val="0"/>
        <w:adjustRightInd w:val="0"/>
        <w:spacing w:after="0" w:line="240" w:lineRule="auto"/>
        <w:jc w:val="both"/>
        <w:rPr>
          <w:rFonts w:ascii="Times New Roman CYR" w:hAnsi="Times New Roman CYR" w:cs="Times New Roman CYR"/>
          <w:sz w:val="24"/>
          <w:szCs w:val="24"/>
          <w:lang w:val="en-US"/>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керiвника та заступникiв керiвника/голови та членiв колегiального виконавчого органу, включаючи iнформацiю про його дiяльнiсть як посадової особи iнших юридичних осiб або iншу дiяльнiсть - оплачувану i безоплатну;</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Щербина Олексiй Юрiйович обiймає посаду позаштатного радника заступника мiського голови з питань дiяльностi виконавчих органiв ради з питань сталого функцiонування, розвитку та модернiзацiї систем теплопостачання мiста Чернiгова на безоплатнiй основi, посаду Вiце-Президента Асоцiацiї "Укртеплоелектроцентраль" з питань надання житлово-комунальних послуг в частинi постачання теплової енергiї на безоплатнiй основi, посаду радника директора КП "Теплокомуненерго" ЧМР на платнiй основi, голова наглядової ради ТОВ "Кременчуцька ТЕЦ" по контракту на платнiй основi, посаду радника директора ТОВ "Нiжинтепломережi" на платнiй основi, посаду радник директора ТОВ "Чернiгiвська генеруюча компанiя" на платнiй основi.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Прохоренко Андрiй Дмитрович обiймає посаду директора ТОВ "Спеценерготранс" на платнiй основi, посаду заступника директора ТОВ " Чернiгiвська генеруюча компанiя" на платнiй основi.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Фадєєва Тетяна Вiкторiвна обiймає посаду керiвника департаменту тарифної полiтики, монiторингу, фiнансового забезпечення та бухгалтерського облiку КП "Теплокомуненерго" ЧМР на платнiй основi.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виконання виконавчим органом поставлених цiлей особи. В межах цього пункту зазначається iнформацiя щодо впливу рiшень, прийнятих виконавчих органом протягом звiтного перiоду, на досягнення поставлених перед особою стратегiчних цiлей. При цьому iнформацiя щодо стратегiчних цiлей особи має мiстити загальний опис таких стратегiчних цiлей i не потребує розкриття iнформацiї (показникiв), що, згiдно внутрiшнiх документiв особи належить до iнформацiї з обмеженим доступом (конфiденцiйної iнформацiї та комерцiйної таємницi);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Дiяльнiсть виконавчого органу сприяє досягненню цiлей Товариства. Основнi види дiяльностi, якими займається Товариство, в звiтному перiдi були незмiннi: надання послуг з теплопостачання та виробництво i транспортування теплової енергiї. Також, пiдприємство здiйснює експлуатацiю, технiчне обслуговування i ремонт котелень, теплових пунктiв, теплових мереж. Основними споживачами послуг Товариства є: населення та юридичнi особи (в т.ч. бюджетнi установи, релiгiйнi органiзацiї) та iншi споживачi мiста Чернiгова та областi.</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Виконавчий орган Товариства докладає максимум зусиль для забезпечення високої якостi послуг централiзованого опалення та гарячого водопостачання мешканцiв мiста Чернiгова та областi та безперебiйної роботи Товариства.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цього вживають заходи щодо зниження собiвартостi продукцiї;  пошук нових резервiв отримання прибутку; пошук нових резервiв зменшення збиткiв; оптимiзацiя витрат;  оптимiзацiя втрат вiд настання ризикiв, в тому числi фiнансових; забезпечення фiнансової стiйкостi i платоспроможностi пiдприємства в тому числi i в довгостроковому перiодi;  забезпечення фiнансової безпеки пiдприємства; балансування структури активiв та пасивiв, доходiв та витрат. </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Крiм того, придiляється увага технiко-технологiчному розвитку матерiально-технiчної бази - оновлення фiзично зношених та морально застарiлих виробничих фондiв, впровадження прогресивних технологiчних процесiв, ресурсозберiгаючих технологiй; автоматизацiя ручної працi; полiпшення умов працi робiтникiв та технiки безпеки.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Заробiтна плата виплачувалася своєчасно. Заборгованостi по заробiтнiй платi не було. У господарськiй дiяльностi є можливостi для покращення справ у виробничiй i економiчнiй сферах. Звертається пiдвищена увага на вдосконалення технологiчних процесiв, зменшення витрат на одиницю продукцiї, покращення якiсних показникiв продукцiї, продовження технiчної модернiзацiї виробництва, оптимiзацiю роботи пiдприємства в зв'язку iз воєнним станом в країнi iз максимальним збереженням робочих мiсць.</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iнформацiя про те, яким чином дiяльнiсть виконавчого органу зумовила змiни у фiнансово-господарськiй дiяльностi особи.</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Правлiння ретельно аналiзує стан справ в Товариствi та оперативно приймає максимально ефективнi рiшення в межах повноважень, визначених Статутом та чинним законодавством. Не зважаючи на те, що дiяльнiсть Товариства в звiтному та попереднiх звiтних перiодах була збитковою, правлiння максимально сприяє ефективнiй фiнансово-господарськiй дiяльностi особи. Звiти виконавчого органу регулярно розглядаються та затверджуються наглядовою радою.</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Члени правлiння, в тому числi Голова правлiння компетентнi, працюють ефективно, прийнятi ними рiшення позитивно впливають на фiнансово-господарську дiяльнiсть Товариства.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6. Інформація про корпоративного секретаря, а також звіт щодо результатів його діяльності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Ім'я</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Мiгулько Ольга Олександрiвна</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Документи, які регулюють діяльність корпоративного секретаря</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Статут, цивiльно-правовий договiр</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Орган управління, який прийняв рішення про призначення корпоративного секретаря</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Наглядова рада</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Дата та номер рішення про призначення корпоративного секретаря</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15.09.2023 б/н</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Дата та номер рішення про затвердження звіту корпоративного секретаря за завітний період</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 </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Основні положення звіту щодо результатів діяльності корпоративного секретаря за завітний період</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Звiт щодо результатiв дiяльностi корпоративного секретаря не готувався</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7. Опис основних характеристик систем внутрішнього контролю особи, а також перелік структурних підрозділів особи, які здійснюють ключові обов'язки щодо забезпечення роботи систем внутрішнього контролю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1</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2</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Система внутрішнього контролю передбачає модель трьох ліній захисту</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Опис функцій підрозділів першої лінії захисту та перелік ключових підрозділів</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Опис функцiй пiдроздiлiв першої лiнiї захисту та перелiк ключових пiдроздiлiв вiдсутнiй, так як їх впровадження для Товариства не є обов'язковим.</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При здiйсненнi внутрiшнього контролю використовуються рiзнi методи, вони включають в себе такi елементи, як:</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авторизацiя та пiдтвердження (пiдписання, санкцiонування, затвердження);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розподiл обов'язкiв та повноважень, ротацiя персоналу (щодо прийняття рiшень, здiйснення господарської операцiї та контроль за нею);</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контроль за доступом до ресурсiв та облiкових записiв, закрiплення вiдповiдальностi за збереження i використання ресурсiв (договори про матерiальну вiдповiдальнiсть, довiреностi);</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аудит, контроль, ревiзiя (перевiрка документiв, перевiрка вiрностi  арифметичних розрахункiв, перевiрка дотримання правил облiку окремих господарських операцiй, планова та позапланова iнвентаризацiя, усне опитування персоналу, звiрки, пiдтвердження i простежування);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iншi правила та процедури.</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Всi  перерахованi  вище  заходи контролю  становлять  єдину  систему  i  використовуються  в  цiлях управлiння пiдприємством.</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Функцiї внутрiшнього контролю в Товариствi виконують органи управлiння (суб'єкти внутрiшнього контролю):</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загальнi збори акцiонерiв;</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наглядова рада;</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правлiння;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w:t>
            </w:r>
            <w:r w:rsidRPr="0058181D">
              <w:rPr>
                <w:rFonts w:ascii="Times New Roman CYR" w:eastAsiaTheme="minorEastAsia" w:hAnsi="Times New Roman CYR" w:cs="Times New Roman CYR"/>
                <w:sz w:val="24"/>
                <w:szCs w:val="24"/>
              </w:rPr>
              <w:tab/>
              <w:t>ревiзiйна комiсiя.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Нагляд за веденням бухгалтерського облiку та складанням фiнансової звiтностi Товариства здiйснює голова правлiння, щорiчно проводиться перевiрка фiнансової звiтностi незалежним аудитором. Фiнансова звiтнiсть Товариства за звiтний перiод складається на пiдставi фактичних облiкових даних бухгалтерського облiку, у вiдповiдностi з вимогами Закону України "Про бухгалтерський облiк та фiнансову звiтнiсть в Українi" та дiючими в Українi Нацiональними Положеннями (Стандартами) бухгалтерського облiку. </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Перелік підрозділів та опис функцій підрозділів другої лінії захисту</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Опис функцiй пiдроздiлiв другої лiнiї захисту та перелiк ключових пiдроздiлiв вiдсутнiй, так як їх впровадження для Товариства не є обов'язковим</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Перелік підрозділів та опис функцій підрозділів третьої лінії захисту</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Опис функцiй пiдроздiлiв третьої лiнiї захисту та перелiк ключових пiдроздiлiв вiдсутнiй, так як їх впровадження для Товариства не є обов'язковим</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Наявність затвердженого документу (документів), який(які) визначає(ють) політику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Перелік основних внутрішніх документів щодо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У Товариства вiдсутнi основнi внутрiшнi документи щодо системи внутрiшнього контролю, так як їх впровадження не є обов'язковим для Товариства</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Дата та номер рішення про затвердження звіту щодо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 </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Основні положення звіту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both"/>
              <w:rPr>
                <w:rFonts w:ascii="Times New Roman CYR" w:eastAsiaTheme="minorEastAsia" w:hAnsi="Times New Roman CYR" w:cs="Times New Roman CYR"/>
              </w:rPr>
            </w:pPr>
            <w:r w:rsidRPr="0058181D">
              <w:rPr>
                <w:rFonts w:ascii="Times New Roman CYR" w:eastAsiaTheme="minorEastAsia" w:hAnsi="Times New Roman CYR" w:cs="Times New Roman CYR"/>
              </w:rPr>
              <w:t>Звiт системи внутрiшнього контролю (у тому числi комплаєнс-ризикiв) вiдсутнiй, так як не є обов'язковим для Товариства, тому не готується</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Наявність затвердженої декларації схильності до ризиків</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ні</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Опис основних положень декларації схильності до ризиків</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У Товариства вiдсутня затверджена декларацiя схильностi до ризикiв, так як її впровадження не є обов'язковим </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Назва органу, який прийняв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Таке рiшення не приймалося</w:t>
            </w:r>
          </w:p>
        </w:tc>
      </w:tr>
      <w:tr w:rsidR="0058181D" w:rsidRPr="0058181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Дата та номер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sz w:val="24"/>
                <w:szCs w:val="24"/>
              </w:rPr>
            </w:pPr>
            <w:r w:rsidRPr="0058181D">
              <w:rPr>
                <w:rFonts w:ascii="Times New Roman CYR" w:eastAsiaTheme="minorEastAsia" w:hAnsi="Times New Roman CYR" w:cs="Times New Roman CYR"/>
                <w:sz w:val="24"/>
                <w:szCs w:val="24"/>
              </w:rPr>
              <w:t xml:space="preserve"> </w:t>
            </w: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8. Інформація щодо осіб, які прямо або опосередковано є власниками значного пакета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1750"/>
        <w:gridCol w:w="1750"/>
      </w:tblGrid>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Розмір пакета акцій, що знаходиться в прямому та (опосередкованому) володінні</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Дмитренко Дарiя Ярославiвна</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Пахалюк Ольга Євгенiвна</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9,5</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9,5</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Берко Наталiя Вiталiївна</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8,75</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8,75</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Мельничук Iван Вiкторович</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9,7</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9,7</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Буренко Микола Миколайович</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9,91</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9,91</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Сiора Сергiй Анатолiйович</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5,11</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5,11</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Чиж Олександр Олегович</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9,8</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9,8</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Ємець Олег Володимирович</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8,71</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8,71</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Сергiєнко Вадим Володимирович</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Литвин Геннадiй Якович</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c>
          <w:tcPr>
            <w:tcW w:w="175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F87BA1" w:rsidRDefault="00F87BA1">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9. Інформація щодо будь-яких обмежень прав участі та голосування акціонерів (учасників) на загальних зборах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3500"/>
      </w:tblGrid>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Ім'я або повне найменування акціонера (учасника) права участі та/або голосування якого обмежено</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35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Опис наявного обмеження</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Акцiонери згiдно з реєстром власникiв iменних цiнних паперiв</w:t>
            </w: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35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Вiдповiдно до вимог пункту 10 роздiлу VI Закону України "Про депозитарну систему України"  (акцiонерами не укладено договори з депозитарною установою про обслуговування рахунка в цiнних паперах)  обмежено право голосу по 461203 акцiях емiтента.</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Iнших обмежень прав участi та голосування акцiонерiв на загальних зборах емiтентiв немає.</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sectPr w:rsidR="0058181D">
          <w:pgSz w:w="12240" w:h="15840"/>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10. Інформація щодо порядку призначення/звільнення посадових осіб (крім ради та виконавчого органу)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500"/>
        <w:gridCol w:w="1500"/>
        <w:gridCol w:w="3140"/>
        <w:gridCol w:w="3160"/>
        <w:gridCol w:w="3100"/>
      </w:tblGrid>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Ім'я посадової особи</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РНОКПП</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УНЗР</w:t>
            </w:r>
          </w:p>
        </w:tc>
        <w:tc>
          <w:tcPr>
            <w:tcW w:w="31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посади, назва органу, який прийняв рішення про призначення посадової особи, дата та номер рішення</w:t>
            </w:r>
          </w:p>
        </w:tc>
        <w:tc>
          <w:tcPr>
            <w:tcW w:w="31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Опис ключових повноважень посадової особи</w:t>
            </w:r>
          </w:p>
        </w:tc>
        <w:tc>
          <w:tcPr>
            <w:tcW w:w="3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Порядок призначення та звільнення посадової особи</w:t>
            </w:r>
          </w:p>
        </w:tc>
      </w:tr>
      <w:tr w:rsidR="0058181D" w:rsidRPr="0058181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Мiгулько Ольга Олександрiвна</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314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Корпоративний секретар, обрано рiшенням Наглядової ради (протокол вiд 15.09.2023, б/н)</w:t>
            </w:r>
          </w:p>
        </w:tc>
        <w:tc>
          <w:tcPr>
            <w:tcW w:w="316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Корпоративний секретар є посадовою особою, яка вiдповiдає за ефективну поточну взаємодiю товариства з акцiонерами, iншими iнвесторами, координацiю дiй товариства щодо захисту прав та iнтересiв акцiонерiв, пiдтримання ефективної роботи наглядової ради, а також виконує iншi функцiї, визначенi цим Законом, статутом Товариства</w:t>
            </w:r>
          </w:p>
        </w:tc>
        <w:tc>
          <w:tcPr>
            <w:tcW w:w="3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Корпоративний секретар призначається на посаду Наглядовою радою Товариства (головою наглядової ради) строком до трьох рокiв. Одна й та сама особа може призначатися на посаду корпоративного секретаря неодноразово.</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sectPr w:rsidR="0058181D">
          <w:pgSz w:w="16837" w:h="11905" w:orient="landscape"/>
          <w:pgMar w:top="570" w:right="720" w:bottom="570" w:left="720" w:header="708" w:footer="708" w:gutter="0"/>
          <w:cols w:space="720"/>
          <w:noEndnote/>
        </w:sectPr>
      </w:pPr>
    </w:p>
    <w:p w:rsidR="0058181D" w:rsidRDefault="0058181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Частина 14. Інформація від суб'єкта аудиторської діяльності з урахуванням вимог, передбачених пунктом 45 Положення</w:t>
      </w:r>
    </w:p>
    <w:p w:rsidR="0058181D" w:rsidRDefault="0058181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вiд суб'єкта аудиторської дiяльностi з урахуванням вимог, передбачених пунктом 45 Положення розмiщено у складi аудитрського звiту за 2025 рiк буде розмiщено у вiдповiдностi до вимог законодавства одразу пiсля отримання звiту незалежного аудитора.</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5. Перелік посилань на внутрішні документи особи, що розміщені на вебсайті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200"/>
        <w:gridCol w:w="3200"/>
        <w:gridCol w:w="3100"/>
      </w:tblGrid>
      <w:tr w:rsidR="0058181D" w:rsidRPr="0058181D">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3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внутрішнього документа</w:t>
            </w:r>
          </w:p>
        </w:tc>
        <w:tc>
          <w:tcPr>
            <w:tcW w:w="3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Опис ключових питань, які регулюються внутрішнім документом</w:t>
            </w:r>
          </w:p>
        </w:tc>
        <w:tc>
          <w:tcPr>
            <w:tcW w:w="3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URL-адреса вебсайту особи, за якою розміщено внутрішній документ</w:t>
            </w:r>
          </w:p>
        </w:tc>
      </w:tr>
      <w:tr w:rsidR="0058181D" w:rsidRPr="0058181D">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3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3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3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3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Статут</w:t>
            </w:r>
          </w:p>
        </w:tc>
        <w:tc>
          <w:tcPr>
            <w:tcW w:w="32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Регулює правовий статус товариства, порядок управлiння та взаємодiї органiв, права акцiонерiв, формування статутного капiталу, проведення зборiв, розподiл прибутку та основнi процедури дiяльностi й припинення. У звiтному перiодi загальними зборами акцiонерiв (протокол вiд 09.05.2025) було завтерджено нову редакцiю Статуту</w:t>
            </w:r>
          </w:p>
        </w:tc>
        <w:tc>
          <w:tcPr>
            <w:tcW w:w="31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http://www.otke.cn.ua/docum.shtml</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VI. Список посилань на регульовану інформацію, яка була розкрита протягом звітного року</w:t>
      </w:r>
    </w:p>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2. Особлива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1500"/>
        <w:gridCol w:w="5500"/>
      </w:tblGrid>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Вид особливої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розкриття інформації</w:t>
            </w:r>
          </w:p>
        </w:tc>
        <w:tc>
          <w:tcPr>
            <w:tcW w:w="55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URL-адреси, за якими розміщена інформація, яка розкривалася протягом звітного року</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55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Відомості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20.03.2025</w:t>
            </w:r>
          </w:p>
        </w:tc>
        <w:tc>
          <w:tcPr>
            <w:tcW w:w="5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https://smida.gov.ua/db/feed/126848</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2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Відомості про проведення загальних зборів</w:t>
            </w: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29.07.2025</w:t>
            </w:r>
          </w:p>
        </w:tc>
        <w:tc>
          <w:tcPr>
            <w:tcW w:w="5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https://smida.gov.ua/db/feed/showform/zza/134435</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2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Відомості про прийняття рішення про попереднє надання згоди на вчинення значних правочинів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09.05.2025</w:t>
            </w:r>
          </w:p>
        </w:tc>
        <w:tc>
          <w:tcPr>
            <w:tcW w:w="5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http://www.otke.cn.ua/osobl.shtml</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F87BA1" w:rsidRDefault="00F87BA1">
      <w:pPr>
        <w:widowControl w:val="0"/>
        <w:autoSpaceDE w:val="0"/>
        <w:autoSpaceDN w:val="0"/>
        <w:adjustRightInd w:val="0"/>
        <w:spacing w:after="0" w:line="240" w:lineRule="auto"/>
        <w:rPr>
          <w:rFonts w:ascii="Times New Roman CYR" w:hAnsi="Times New Roman CYR" w:cs="Times New Roman CYR"/>
          <w:b/>
          <w:bCs/>
          <w:i/>
          <w:i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i/>
          <w:i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i/>
          <w:i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i/>
          <w:i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i/>
          <w:i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i/>
          <w:iCs/>
          <w:sz w:val="24"/>
          <w:szCs w:val="24"/>
          <w:lang w:val="en-US"/>
        </w:rPr>
      </w:pPr>
    </w:p>
    <w:p w:rsidR="00F87BA1" w:rsidRDefault="00F87BA1">
      <w:pPr>
        <w:widowControl w:val="0"/>
        <w:autoSpaceDE w:val="0"/>
        <w:autoSpaceDN w:val="0"/>
        <w:adjustRightInd w:val="0"/>
        <w:spacing w:after="0" w:line="240" w:lineRule="auto"/>
        <w:rPr>
          <w:rFonts w:ascii="Times New Roman CYR" w:hAnsi="Times New Roman CYR" w:cs="Times New Roman CYR"/>
          <w:b/>
          <w:bCs/>
          <w:i/>
          <w:iCs/>
          <w:sz w:val="24"/>
          <w:szCs w:val="24"/>
          <w:lang w:val="en-US"/>
        </w:rPr>
      </w:pPr>
    </w:p>
    <w:p w:rsidR="0058181D" w:rsidRDefault="0058181D">
      <w:pPr>
        <w:widowControl w:val="0"/>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t>3. Інша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1500"/>
        <w:gridCol w:w="5500"/>
      </w:tblGrid>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з/п</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Вид іншої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Дата розкриття інформації</w:t>
            </w:r>
          </w:p>
        </w:tc>
        <w:tc>
          <w:tcPr>
            <w:tcW w:w="55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URL-адреси, за якими розміщена інформація, яка розкривалася протягом звітного року</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5500"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Повiдомлення про скликання загальних збьорiв акцiонерiв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20.03.2025</w:t>
            </w:r>
          </w:p>
        </w:tc>
        <w:tc>
          <w:tcPr>
            <w:tcW w:w="5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https://smida.gov.ua/db/feed/126859</w:t>
            </w:r>
          </w:p>
        </w:tc>
      </w:tr>
      <w:tr w:rsidR="0058181D" w:rsidRPr="0058181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245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Повiдомлення про скликання загальних зборiв акцiонерiв</w:t>
            </w:r>
          </w:p>
        </w:tc>
        <w:tc>
          <w:tcPr>
            <w:tcW w:w="1500" w:type="dxa"/>
            <w:tcBorders>
              <w:top w:val="single" w:sz="6" w:space="0" w:color="auto"/>
              <w:left w:val="single" w:sz="6" w:space="0" w:color="auto"/>
              <w:bottom w:val="single" w:sz="6" w:space="0" w:color="auto"/>
              <w:right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29.07.2025</w:t>
            </w:r>
          </w:p>
        </w:tc>
        <w:tc>
          <w:tcPr>
            <w:tcW w:w="5500"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https://smida.gov.ua/db/feed/134436</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sectPr w:rsidR="0058181D">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58181D" w:rsidRPr="0058181D">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КОДИ</w:t>
            </w:r>
          </w:p>
        </w:tc>
      </w:tr>
      <w:tr w:rsidR="0058181D" w:rsidRPr="0058181D">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01.01.2026</w:t>
            </w:r>
          </w:p>
        </w:tc>
      </w:tr>
      <w:tr w:rsidR="0058181D" w:rsidRPr="0058181D">
        <w:tblPrEx>
          <w:tblCellMar>
            <w:top w:w="0" w:type="dxa"/>
            <w:bottom w:w="0" w:type="dxa"/>
          </w:tblCellMar>
        </w:tblPrEx>
        <w:trPr>
          <w:trHeight w:val="298"/>
        </w:trPr>
        <w:tc>
          <w:tcPr>
            <w:tcW w:w="2160"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Підприємство</w:t>
            </w:r>
          </w:p>
        </w:tc>
        <w:tc>
          <w:tcPr>
            <w:tcW w:w="4466"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АКЦIОНЕРНЕ ТОВАРИСТВО "ОБЛТЕПЛОКОМУНЕНЕРГО"</w:t>
            </w:r>
          </w:p>
        </w:tc>
        <w:tc>
          <w:tcPr>
            <w:tcW w:w="1654" w:type="dxa"/>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03357671</w:t>
            </w:r>
          </w:p>
        </w:tc>
      </w:tr>
      <w:tr w:rsidR="0058181D" w:rsidRPr="0058181D">
        <w:tblPrEx>
          <w:tblCellMar>
            <w:top w:w="0" w:type="dxa"/>
            <w:bottom w:w="0" w:type="dxa"/>
          </w:tblCellMar>
        </w:tblPrEx>
        <w:trPr>
          <w:trHeight w:val="298"/>
        </w:trPr>
        <w:tc>
          <w:tcPr>
            <w:tcW w:w="2160"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Територія</w:t>
            </w:r>
          </w:p>
        </w:tc>
        <w:tc>
          <w:tcPr>
            <w:tcW w:w="4466"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Чернігівська обл.</w:t>
            </w:r>
          </w:p>
        </w:tc>
        <w:tc>
          <w:tcPr>
            <w:tcW w:w="1654" w:type="dxa"/>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UA74100390010268220</w:t>
            </w:r>
          </w:p>
        </w:tc>
      </w:tr>
      <w:tr w:rsidR="0058181D" w:rsidRPr="0058181D">
        <w:tblPrEx>
          <w:tblCellMar>
            <w:top w:w="0" w:type="dxa"/>
            <w:bottom w:w="0" w:type="dxa"/>
          </w:tblCellMar>
        </w:tblPrEx>
        <w:trPr>
          <w:trHeight w:val="298"/>
        </w:trPr>
        <w:tc>
          <w:tcPr>
            <w:tcW w:w="2160"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230</w:t>
            </w:r>
          </w:p>
        </w:tc>
      </w:tr>
      <w:tr w:rsidR="0058181D" w:rsidRPr="0058181D">
        <w:tblPrEx>
          <w:tblCellMar>
            <w:top w:w="0" w:type="dxa"/>
            <w:bottom w:w="0" w:type="dxa"/>
          </w:tblCellMar>
        </w:tblPrEx>
        <w:trPr>
          <w:trHeight w:val="298"/>
        </w:trPr>
        <w:tc>
          <w:tcPr>
            <w:tcW w:w="2160"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Вид економічної діяльності</w:t>
            </w:r>
          </w:p>
        </w:tc>
        <w:tc>
          <w:tcPr>
            <w:tcW w:w="4466"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w:t>
            </w:r>
          </w:p>
        </w:tc>
        <w:tc>
          <w:tcPr>
            <w:tcW w:w="1654" w:type="dxa"/>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35/30</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878</w:t>
      </w:r>
    </w:p>
    <w:p w:rsidR="0058181D" w:rsidRDefault="0058181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14000 м. Чернiгiв, вул. Ремiснича, 55-б, +380 (46) 277-43-24</w:t>
      </w:r>
    </w:p>
    <w:p w:rsidR="0058181D" w:rsidRDefault="0058181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без десяткового знака</w:t>
      </w:r>
    </w:p>
    <w:p w:rsidR="0058181D" w:rsidRDefault="0058181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tblPr>
      <w:tblGrid>
        <w:gridCol w:w="8280"/>
        <w:gridCol w:w="1720"/>
      </w:tblGrid>
      <w:tr w:rsidR="0058181D" w:rsidRPr="0058181D">
        <w:tblPrEx>
          <w:tblCellMar>
            <w:top w:w="0" w:type="dxa"/>
            <w:bottom w:w="0" w:type="dxa"/>
          </w:tblCellMar>
        </w:tblPrEx>
        <w:trPr>
          <w:trHeight w:val="298"/>
        </w:trPr>
        <w:tc>
          <w:tcPr>
            <w:tcW w:w="8280" w:type="dxa"/>
            <w:vMerge w:val="restart"/>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b/>
                <w:bCs/>
              </w:rPr>
              <w:t>v</w:t>
            </w:r>
          </w:p>
        </w:tc>
      </w:tr>
      <w:tr w:rsidR="0058181D" w:rsidRPr="0058181D">
        <w:tblPrEx>
          <w:tblCellMar>
            <w:top w:w="0" w:type="dxa"/>
            <w:bottom w:w="0" w:type="dxa"/>
          </w:tblCellMar>
        </w:tblPrEx>
        <w:trPr>
          <w:trHeight w:val="298"/>
        </w:trPr>
        <w:tc>
          <w:tcPr>
            <w:tcW w:w="8280" w:type="dxa"/>
            <w:vMerge w:val="restart"/>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r>
    </w:tbl>
    <w:p w:rsidR="0058181D" w:rsidRDefault="0058181D">
      <w:pPr>
        <w:widowControl w:val="0"/>
        <w:autoSpaceDE w:val="0"/>
        <w:autoSpaceDN w:val="0"/>
        <w:adjustRightInd w:val="0"/>
        <w:spacing w:after="0" w:line="240" w:lineRule="auto"/>
        <w:rPr>
          <w:rFonts w:ascii="Times New Roman CYR" w:hAnsi="Times New Roman CYR" w:cs="Times New Roman CYR"/>
          <w:sz w:val="24"/>
          <w:szCs w:val="24"/>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58181D" w:rsidRDefault="0058181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31.12.2025 p.</w:t>
      </w:r>
    </w:p>
    <w:p w:rsidR="0058181D" w:rsidRDefault="0058181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58181D" w:rsidRPr="0058181D">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rPr>
            </w:pPr>
            <w:r w:rsidRPr="0058181D">
              <w:rPr>
                <w:rFonts w:ascii="Times New Roman CYR" w:eastAsiaTheme="minorEastAsia"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rPr>
            </w:pPr>
            <w:r w:rsidRPr="0058181D">
              <w:rPr>
                <w:rFonts w:ascii="Times New Roman CYR" w:eastAsiaTheme="minorEastAsia" w:hAnsi="Times New Roman CYR" w:cs="Times New Roman CYR"/>
              </w:rPr>
              <w:t>1801001</w:t>
            </w:r>
          </w:p>
        </w:tc>
      </w:tr>
      <w:tr w:rsidR="0058181D" w:rsidRPr="0058181D">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кінець звітного періоду</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807</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660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2 719</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2 963</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( 1 912 )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( 2 303 )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142 160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55 712</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163 840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549 460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1 319 685</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1 721 797</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( 1 155 845 )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( 1 172 337 )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24 739</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78 415</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331 546</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684 247</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40 065</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53 400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40 016</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53 400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49</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270 879</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266 312</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20 693</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43 743</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49</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40 223</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16 816</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9 219</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27 843</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9 989</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1 394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171 599</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260 752</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562 716</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670 300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894 262</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1 354 547</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58181D" w:rsidRPr="0058181D">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 кінець звітного періоду</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758</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758</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156 058</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156 096</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-1 430 451</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-1 729 471</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-1 273 635</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-1 572 617</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35</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35</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1 875 520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2 356 990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18 815</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17 510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1 550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2 070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7 526</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8 240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13 444</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15 167</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90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191 550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477 333</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59 277</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49 674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2 167 862</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2 927 164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894 262</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1 354 547</w:t>
            </w:r>
          </w:p>
        </w:tc>
      </w:tr>
    </w:tbl>
    <w:p w:rsidR="0058181D" w:rsidRDefault="0058181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д/н</w:t>
      </w:r>
    </w:p>
    <w:p w:rsidR="0058181D" w:rsidRDefault="0058181D">
      <w:pPr>
        <w:widowControl w:val="0"/>
        <w:autoSpaceDE w:val="0"/>
        <w:autoSpaceDN w:val="0"/>
        <w:adjustRightInd w:val="0"/>
        <w:spacing w:after="0" w:line="240" w:lineRule="auto"/>
        <w:jc w:val="both"/>
        <w:rPr>
          <w:rFonts w:ascii="Times New Roman CYR" w:hAnsi="Times New Roman CYR" w:cs="Times New Roman CYR"/>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О.Ю. Щербина</w:t>
      </w:r>
    </w:p>
    <w:p w:rsidR="0058181D" w:rsidRDefault="0058181D">
      <w:pPr>
        <w:widowControl w:val="0"/>
        <w:autoSpaceDE w:val="0"/>
        <w:autoSpaceDN w:val="0"/>
        <w:adjustRightInd w:val="0"/>
        <w:spacing w:after="0" w:line="240" w:lineRule="auto"/>
        <w:jc w:val="both"/>
        <w:rPr>
          <w:rFonts w:ascii="Times New Roman CYR" w:hAnsi="Times New Roman CYR" w:cs="Times New Roman CYR"/>
        </w:rPr>
      </w:pPr>
    </w:p>
    <w:p w:rsidR="0058181D" w:rsidRDefault="0058181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Т.В. Фадєєва</w:t>
      </w:r>
    </w:p>
    <w:p w:rsidR="0058181D" w:rsidRDefault="0058181D">
      <w:pPr>
        <w:widowControl w:val="0"/>
        <w:autoSpaceDE w:val="0"/>
        <w:autoSpaceDN w:val="0"/>
        <w:adjustRightInd w:val="0"/>
        <w:spacing w:after="0" w:line="240" w:lineRule="auto"/>
        <w:jc w:val="both"/>
        <w:rPr>
          <w:rFonts w:ascii="Times New Roman CYR" w:hAnsi="Times New Roman CYR" w:cs="Times New Roman CYR"/>
        </w:rPr>
        <w:sectPr w:rsidR="0058181D">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58181D" w:rsidRPr="0058181D">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КОДИ</w:t>
            </w:r>
          </w:p>
        </w:tc>
      </w:tr>
      <w:tr w:rsidR="0058181D" w:rsidRPr="0058181D">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01.01.2026</w:t>
            </w:r>
          </w:p>
        </w:tc>
      </w:tr>
      <w:tr w:rsidR="0058181D" w:rsidRPr="0058181D">
        <w:tblPrEx>
          <w:tblCellMar>
            <w:top w:w="0" w:type="dxa"/>
            <w:bottom w:w="0" w:type="dxa"/>
          </w:tblCellMar>
        </w:tblPrEx>
        <w:trPr>
          <w:trHeight w:val="298"/>
        </w:trPr>
        <w:tc>
          <w:tcPr>
            <w:tcW w:w="2160"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Підприємство</w:t>
            </w:r>
          </w:p>
        </w:tc>
        <w:tc>
          <w:tcPr>
            <w:tcW w:w="4466" w:type="dxa"/>
            <w:tcBorders>
              <w:top w:val="nil"/>
              <w:left w:val="nil"/>
              <w:bottom w:val="nil"/>
              <w:right w:val="nil"/>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АКЦIОНЕРНЕ ТОВАРИСТВО "ОБЛТЕПЛОКОМУНЕНЕРГО"</w:t>
            </w:r>
          </w:p>
        </w:tc>
        <w:tc>
          <w:tcPr>
            <w:tcW w:w="1654" w:type="dxa"/>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b/>
                <w:bCs/>
              </w:rPr>
            </w:pPr>
            <w:r w:rsidRPr="0058181D">
              <w:rPr>
                <w:rFonts w:ascii="Times New Roman CYR" w:eastAsiaTheme="minorEastAsia"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03357671</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58181D" w:rsidRDefault="0058181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58181D" w:rsidRDefault="0058181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2025 рік</w:t>
      </w:r>
    </w:p>
    <w:p w:rsidR="0058181D" w:rsidRDefault="0058181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58181D" w:rsidRDefault="0058181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58181D" w:rsidRPr="0058181D">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rPr>
            </w:pPr>
            <w:r w:rsidRPr="0058181D">
              <w:rPr>
                <w:rFonts w:ascii="Times New Roman CYR" w:eastAsiaTheme="minorEastAsia"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58181D" w:rsidRPr="0058181D" w:rsidRDefault="0058181D">
            <w:pPr>
              <w:widowControl w:val="0"/>
              <w:autoSpaceDE w:val="0"/>
              <w:autoSpaceDN w:val="0"/>
              <w:adjustRightInd w:val="0"/>
              <w:spacing w:after="0" w:line="240" w:lineRule="auto"/>
              <w:jc w:val="right"/>
              <w:rPr>
                <w:rFonts w:ascii="Times New Roman CYR" w:eastAsiaTheme="minorEastAsia" w:hAnsi="Times New Roman CYR" w:cs="Times New Roman CYR"/>
              </w:rPr>
            </w:pPr>
            <w:r w:rsidRPr="0058181D">
              <w:rPr>
                <w:rFonts w:ascii="Times New Roman CYR" w:eastAsiaTheme="minorEastAsia" w:hAnsi="Times New Roman CYR" w:cs="Times New Roman CYR"/>
              </w:rPr>
              <w:t>1801003</w:t>
            </w:r>
          </w:p>
        </w:tc>
      </w:tr>
      <w:tr w:rsidR="0058181D" w:rsidRPr="0058181D">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аналогічний період попереднього року</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896 023</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848 701</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( 1 168 929 )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( 1 071 652 )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b/>
                <w:bCs/>
              </w:rPr>
              <w:t>Валовий:</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( 272 906 )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( 222 951 )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70 724</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30 450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( 41 169 )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( 43 961 )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( 73 394 )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( 98 074 )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b/>
                <w:bCs/>
              </w:rPr>
              <w:t>Фінансовий результат від операційної діяльності:</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( 316 745 )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( 334 536 )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35 681</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7 494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( 4 )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( 59 )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( 5 717 )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( 1 226 )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( 1 819 )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b/>
                <w:bCs/>
              </w:rPr>
              <w:t>Фінансовий результат до оподаткування:</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( 288 011 )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( 328 912 )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b/>
                <w:bCs/>
              </w:rPr>
              <w:t>Чистий фінансовий результат:</w:t>
            </w:r>
          </w:p>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( 288 011 )</w:t>
            </w:r>
          </w:p>
        </w:tc>
        <w:tc>
          <w:tcPr>
            <w:tcW w:w="1645" w:type="dxa"/>
            <w:gridSpan w:val="2"/>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( 328 912 )</w:t>
            </w:r>
          </w:p>
        </w:tc>
      </w:tr>
    </w:tbl>
    <w:p w:rsidR="0058181D" w:rsidRDefault="0058181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58181D" w:rsidRPr="0058181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аналогічний період попереднього року</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( 0 )</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-288 011</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-328 912</w:t>
            </w:r>
          </w:p>
        </w:tc>
      </w:tr>
    </w:tbl>
    <w:p w:rsidR="0058181D" w:rsidRDefault="0058181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58181D" w:rsidRPr="0058181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аналогічний період попереднього року</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869 334</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782 827</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212 863</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199 393</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44 662</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41 473</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24 035</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20 024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132 598</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169 970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1 283 492</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1 213 687</w:t>
            </w:r>
          </w:p>
        </w:tc>
      </w:tr>
    </w:tbl>
    <w:p w:rsidR="0058181D" w:rsidRDefault="0058181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58181D" w:rsidRPr="0058181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За аналогічний період попереднього року</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4</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0,000000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0,000000</w:t>
            </w:r>
          </w:p>
        </w:tc>
      </w:tr>
      <w:tr w:rsidR="0058181D" w:rsidRPr="0058181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rPr>
                <w:rFonts w:ascii="Times New Roman CYR" w:eastAsiaTheme="minorEastAsia" w:hAnsi="Times New Roman CYR" w:cs="Times New Roman CYR"/>
              </w:rPr>
            </w:pPr>
            <w:r w:rsidRPr="0058181D">
              <w:rPr>
                <w:rFonts w:ascii="Times New Roman CYR" w:eastAsiaTheme="minorEastAsia"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58181D" w:rsidRPr="0058181D" w:rsidRDefault="0058181D">
            <w:pPr>
              <w:widowControl w:val="0"/>
              <w:autoSpaceDE w:val="0"/>
              <w:autoSpaceDN w:val="0"/>
              <w:adjustRightInd w:val="0"/>
              <w:spacing w:after="0" w:line="240" w:lineRule="auto"/>
              <w:jc w:val="center"/>
              <w:rPr>
                <w:rFonts w:ascii="Times New Roman CYR" w:eastAsiaTheme="minorEastAsia" w:hAnsi="Times New Roman CYR" w:cs="Times New Roman CYR"/>
              </w:rPr>
            </w:pPr>
            <w:r w:rsidRPr="0058181D">
              <w:rPr>
                <w:rFonts w:ascii="Times New Roman CYR" w:eastAsiaTheme="minorEastAsia" w:hAnsi="Times New Roman CYR" w:cs="Times New Roman CYR"/>
              </w:rPr>
              <w:t>0,00</w:t>
            </w:r>
          </w:p>
        </w:tc>
      </w:tr>
    </w:tbl>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О.Ю. Щербина</w:t>
      </w:r>
    </w:p>
    <w:p w:rsidR="0058181D" w:rsidRDefault="0058181D">
      <w:pPr>
        <w:widowControl w:val="0"/>
        <w:autoSpaceDE w:val="0"/>
        <w:autoSpaceDN w:val="0"/>
        <w:adjustRightInd w:val="0"/>
        <w:spacing w:after="0" w:line="240" w:lineRule="auto"/>
        <w:rPr>
          <w:rFonts w:ascii="Times New Roman CYR" w:hAnsi="Times New Roman CYR" w:cs="Times New Roman CYR"/>
        </w:rPr>
      </w:pPr>
    </w:p>
    <w:p w:rsidR="0058181D" w:rsidRDefault="0058181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Т.В. Фадєєва</w:t>
      </w:r>
    </w:p>
    <w:sectPr w:rsidR="0058181D">
      <w:pgSz w:w="12240" w:h="15840"/>
      <w:pgMar w:top="570" w:right="720" w:bottom="570" w:left="720" w:header="708" w:footer="70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016" w:rsidRDefault="00CF1016" w:rsidP="0058181D">
      <w:pPr>
        <w:spacing w:after="0" w:line="240" w:lineRule="auto"/>
      </w:pPr>
      <w:r>
        <w:separator/>
      </w:r>
    </w:p>
  </w:endnote>
  <w:endnote w:type="continuationSeparator" w:id="0">
    <w:p w:rsidR="00CF1016" w:rsidRDefault="00CF1016" w:rsidP="005818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016" w:rsidRDefault="00CF1016" w:rsidP="0058181D">
      <w:pPr>
        <w:spacing w:after="0" w:line="240" w:lineRule="auto"/>
      </w:pPr>
      <w:r>
        <w:separator/>
      </w:r>
    </w:p>
  </w:footnote>
  <w:footnote w:type="continuationSeparator" w:id="0">
    <w:p w:rsidR="00CF1016" w:rsidRDefault="00CF1016" w:rsidP="005818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81D" w:rsidRDefault="0058181D">
    <w:pPr>
      <w:pStyle w:val="a3"/>
      <w:jc w:val="center"/>
    </w:pPr>
    <w:fldSimple w:instr=" PAGE   \* MERGEFORMAT ">
      <w:r w:rsidR="00CF1016">
        <w:rPr>
          <w:noProof/>
        </w:rPr>
        <w:t>1</w:t>
      </w:r>
    </w:fldSimple>
  </w:p>
  <w:p w:rsidR="0058181D" w:rsidRDefault="0058181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74954"/>
    <w:multiLevelType w:val="hybridMultilevel"/>
    <w:tmpl w:val="EB7A3B08"/>
    <w:lvl w:ilvl="0" w:tplc="97B6C1B6">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hideSpellingErrors/>
  <w:hideGrammatical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8181D"/>
    <w:rsid w:val="0058181D"/>
    <w:rsid w:val="00CF1016"/>
    <w:rsid w:val="00DE3BEF"/>
    <w:rsid w:val="00F87BA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81D"/>
    <w:pPr>
      <w:tabs>
        <w:tab w:val="center" w:pos="4819"/>
        <w:tab w:val="right" w:pos="9639"/>
      </w:tabs>
    </w:pPr>
  </w:style>
  <w:style w:type="character" w:customStyle="1" w:styleId="a4">
    <w:name w:val="Верхний колонтитул Знак"/>
    <w:basedOn w:val="a0"/>
    <w:link w:val="a3"/>
    <w:uiPriority w:val="99"/>
    <w:rsid w:val="0058181D"/>
  </w:style>
  <w:style w:type="paragraph" w:styleId="a5">
    <w:name w:val="footer"/>
    <w:basedOn w:val="a"/>
    <w:link w:val="a6"/>
    <w:uiPriority w:val="99"/>
    <w:semiHidden/>
    <w:unhideWhenUsed/>
    <w:rsid w:val="0058181D"/>
    <w:pPr>
      <w:tabs>
        <w:tab w:val="center" w:pos="4819"/>
        <w:tab w:val="right" w:pos="9639"/>
      </w:tabs>
    </w:pPr>
  </w:style>
  <w:style w:type="character" w:customStyle="1" w:styleId="a6">
    <w:name w:val="Нижний колонтитул Знак"/>
    <w:basedOn w:val="a0"/>
    <w:link w:val="a5"/>
    <w:uiPriority w:val="99"/>
    <w:semiHidden/>
    <w:rsid w:val="005818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80</Pages>
  <Words>109292</Words>
  <Characters>62297</Characters>
  <Application>Microsoft Office Word</Application>
  <DocSecurity>0</DocSecurity>
  <Lines>519</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Я</dc:creator>
  <cp:lastModifiedBy>Катерина Я</cp:lastModifiedBy>
  <cp:revision>3</cp:revision>
  <dcterms:created xsi:type="dcterms:W3CDTF">2026-06-29T08:31:00Z</dcterms:created>
  <dcterms:modified xsi:type="dcterms:W3CDTF">2026-06-29T08:31:00Z</dcterms:modified>
</cp:coreProperties>
</file>