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  <w:proofErr w:type="spellStart"/>
      <w:r>
        <w:rPr>
          <w:rFonts w:ascii="Times New Roman CYR" w:hAnsi="Times New Roman CYR"/>
          <w:b/>
          <w:bCs/>
          <w:sz w:val="28"/>
          <w:szCs w:val="28"/>
        </w:rPr>
        <w:t>Титульний</w:t>
      </w:r>
      <w:proofErr w:type="spellEnd"/>
      <w:r>
        <w:rPr>
          <w:rFonts w:ascii="Times New Roman CYR" w:hAnsi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/>
          <w:b/>
          <w:bCs/>
          <w:sz w:val="28"/>
          <w:szCs w:val="28"/>
        </w:rPr>
        <w:t>аркуш</w:t>
      </w:r>
      <w:proofErr w:type="spellEnd"/>
      <w:r>
        <w:rPr>
          <w:rFonts w:ascii="Times New Roman CYR" w:hAnsi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/>
          <w:b/>
          <w:bCs/>
          <w:sz w:val="28"/>
          <w:szCs w:val="28"/>
        </w:rPr>
        <w:t>Повідомлення</w:t>
      </w:r>
      <w:proofErr w:type="spellEnd"/>
      <w:r>
        <w:rPr>
          <w:rFonts w:ascii="Times New Roman CYR" w:hAnsi="Times New Roman CYR"/>
          <w:b/>
          <w:bCs/>
          <w:sz w:val="28"/>
          <w:szCs w:val="28"/>
        </w:rPr>
        <w:t xml:space="preserve"> (</w:t>
      </w:r>
      <w:proofErr w:type="spellStart"/>
      <w:r>
        <w:rPr>
          <w:rFonts w:ascii="Times New Roman CYR" w:hAnsi="Times New Roman CYR"/>
          <w:b/>
          <w:bCs/>
          <w:sz w:val="28"/>
          <w:szCs w:val="28"/>
        </w:rPr>
        <w:t>Повідомлення</w:t>
      </w:r>
      <w:proofErr w:type="spellEnd"/>
      <w:r>
        <w:rPr>
          <w:rFonts w:ascii="Times New Roman CYR" w:hAnsi="Times New Roman CYR"/>
          <w:b/>
          <w:bCs/>
          <w:sz w:val="28"/>
          <w:szCs w:val="28"/>
        </w:rPr>
        <w:t xml:space="preserve"> про </w:t>
      </w:r>
      <w:proofErr w:type="spellStart"/>
      <w:r>
        <w:rPr>
          <w:rFonts w:ascii="Times New Roman CYR" w:hAnsi="Times New Roman CYR"/>
          <w:b/>
          <w:bCs/>
          <w:sz w:val="28"/>
          <w:szCs w:val="28"/>
        </w:rPr>
        <w:t>інформацію</w:t>
      </w:r>
      <w:proofErr w:type="spellEnd"/>
      <w:r>
        <w:rPr>
          <w:rFonts w:ascii="Times New Roman CYR" w:hAnsi="Times New Roman CYR"/>
          <w:b/>
          <w:bCs/>
          <w:sz w:val="28"/>
          <w:szCs w:val="28"/>
        </w:rPr>
        <w:t>)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55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16.03.2021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 xml:space="preserve">(дата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реєстрації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емітентом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електронного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 xml:space="preserve"> документа)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№ 1/2021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вихідний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реєстраційний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 xml:space="preserve"> номер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електронного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 xml:space="preserve"> документа)</w:t>
            </w:r>
          </w:p>
        </w:tc>
      </w:tr>
    </w:tbl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1058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 CYR" w:hAnsi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/>
                <w:sz w:val="24"/>
                <w:szCs w:val="24"/>
              </w:rPr>
              <w:t>ідтверджую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ідентичність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достовірність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інформації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розкрита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відповідно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вимог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Положення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про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розкриття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інформації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емітентами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цінних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паперів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затвердженого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рішенням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Національної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комісії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цінних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паперів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та фондового ринку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03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грудня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2013 року № 28</w:t>
            </w:r>
            <w:r>
              <w:rPr>
                <w:rFonts w:ascii="Times New Roman CYR" w:hAnsi="Times New Roman CYR"/>
                <w:sz w:val="24"/>
                <w:szCs w:val="24"/>
              </w:rPr>
              <w:t xml:space="preserve">26,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зареєстрованого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Міністерстві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юстиції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24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грудня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2013 року за № 2180/24712 (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змінами</w:t>
            </w:r>
            <w:proofErr w:type="spellEnd"/>
            <w:r>
              <w:rPr>
                <w:rFonts w:ascii="Times New Roman CYR" w:hAnsi="Times New Roman CYR"/>
                <w:sz w:val="24"/>
                <w:szCs w:val="24"/>
              </w:rPr>
              <w:t>).</w:t>
            </w:r>
          </w:p>
        </w:tc>
      </w:tr>
    </w:tbl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140"/>
        <w:gridCol w:w="236"/>
        <w:gridCol w:w="1354"/>
        <w:gridCol w:w="236"/>
        <w:gridCol w:w="4654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 xml:space="preserve">Голова </w:t>
            </w:r>
            <w:proofErr w:type="spellStart"/>
            <w:r>
              <w:rPr>
                <w:rFonts w:ascii="Times New Roman CYR" w:hAnsi="Times New Roman CYR"/>
                <w:sz w:val="24"/>
                <w:szCs w:val="24"/>
              </w:rPr>
              <w:t>правління</w:t>
            </w:r>
            <w:proofErr w:type="spellEnd"/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В.М. Геращенко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(посада)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 CYR" w:hAnsi="Times New Roman CYR"/>
                <w:sz w:val="20"/>
                <w:szCs w:val="20"/>
              </w:rPr>
              <w:t>п</w:t>
            </w:r>
            <w:proofErr w:type="gramEnd"/>
            <w:r>
              <w:rPr>
                <w:rFonts w:ascii="Times New Roman CYR" w:hAnsi="Times New Roman CYR"/>
                <w:sz w:val="20"/>
                <w:szCs w:val="20"/>
              </w:rPr>
              <w:t>ідпис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>)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</w:p>
        </w:tc>
        <w:tc>
          <w:tcPr>
            <w:tcW w:w="4654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/>
                <w:sz w:val="20"/>
                <w:szCs w:val="20"/>
              </w:rPr>
            </w:pPr>
            <w:r>
              <w:rPr>
                <w:rFonts w:ascii="Times New Roman CYR" w:hAnsi="Times New Roman CYR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 CYR" w:hAnsi="Times New Roman CYR"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 CYR" w:hAnsi="Times New Roman CYR"/>
                <w:sz w:val="20"/>
                <w:szCs w:val="20"/>
              </w:rPr>
              <w:t>ізвище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ініціали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керівника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уповноваженої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 xml:space="preserve"> особи </w:t>
            </w:r>
            <w:proofErr w:type="spellStart"/>
            <w:r>
              <w:rPr>
                <w:rFonts w:ascii="Times New Roman CYR" w:hAnsi="Times New Roman CYR"/>
                <w:sz w:val="20"/>
                <w:szCs w:val="20"/>
              </w:rPr>
              <w:t>емітента</w:t>
            </w:r>
            <w:proofErr w:type="spellEnd"/>
            <w:r>
              <w:rPr>
                <w:rFonts w:ascii="Times New Roman CYR" w:hAnsi="Times New Roman CYR"/>
                <w:sz w:val="20"/>
                <w:szCs w:val="20"/>
              </w:rPr>
              <w:t>)</w:t>
            </w:r>
          </w:p>
        </w:tc>
      </w:tr>
    </w:tbl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/>
          <w:sz w:val="20"/>
          <w:szCs w:val="20"/>
        </w:rPr>
      </w:pP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Особлива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інформація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(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інформація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іпотечні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цінні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папери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сертифікати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фонду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операцій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з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нерухомістю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)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емітента</w:t>
      </w:r>
      <w:proofErr w:type="spellEnd"/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І.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Загальні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відомості</w:t>
      </w:r>
      <w:proofErr w:type="spellEnd"/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1.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Повне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найменування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емітента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ПРИВАТНЕ АКЦІОНЕРНЕ ТОВАРИСТВО "ОБЛТЕПЛОКОМУНЕНЕРГО"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Організаційно-правова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форма: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Акціонерне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товариство</w:t>
      </w:r>
      <w:proofErr w:type="spellEnd"/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3.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Місцезнаходження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15600,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Чернігівська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обл.,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.Ч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ернiгiв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вул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Рем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i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снича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буд. 55-Б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Ідентифікаційний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особи: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03357671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5.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Міжміський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та телефон, факс: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(0462)77-43-24, (0462)77-43-24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6. Адреса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електронної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пошти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: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yemets.oleg@gmail.com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7.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Найменування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ідентифікаційний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країна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реєстрації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 та номер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св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ідоцтва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включення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осіб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уповноважених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надавати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інформаційні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послуги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фондовому ринку, особи, яка проводить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діяльніст</w:t>
      </w:r>
      <w:r>
        <w:rPr>
          <w:rFonts w:ascii="Times New Roman CYR" w:hAnsi="Times New Roman CYR" w:cs="Times New Roman CYR"/>
          <w:sz w:val="24"/>
          <w:szCs w:val="24"/>
        </w:rPr>
        <w:t>ь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оприлюднення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регульованої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від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імені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учасника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фондового ринку (у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разі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здійснення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оприлюднення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):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8.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Найменування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ідентифікаційний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код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країна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реєстрації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юридичної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особи та номер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св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ідоцтва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включення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Реєстру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осіб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уповн</w:t>
      </w:r>
      <w:r>
        <w:rPr>
          <w:rFonts w:ascii="Times New Roman CYR" w:hAnsi="Times New Roman CYR" w:cs="Times New Roman CYR"/>
          <w:sz w:val="24"/>
          <w:szCs w:val="24"/>
        </w:rPr>
        <w:t>оважених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надавати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інформаційні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послуги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 фондовому ринку, особи, яка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здійснює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подання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звітності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та/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або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адміністративних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даних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Національної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комісії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цінних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паперів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фондового ринку (у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разі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якщо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емітент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не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подає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Інформацію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до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Національної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комісії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</w:t>
      </w:r>
      <w:r>
        <w:rPr>
          <w:rFonts w:ascii="Times New Roman CYR" w:hAnsi="Times New Roman CYR" w:cs="Times New Roman CYR"/>
          <w:sz w:val="24"/>
          <w:szCs w:val="24"/>
        </w:rPr>
        <w:t>інних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паперів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та фондового ринку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безпосередньо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):</w:t>
      </w:r>
      <w:proofErr w:type="gramEnd"/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Державна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установа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"Агентство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розвитку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інфраструктури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фондового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ринку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України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", 21676262,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Україна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DR/00002/ARM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ІІ. </w:t>
      </w:r>
      <w:proofErr w:type="spellStart"/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Дан</w:t>
      </w:r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>і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про дату та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місце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оприлюднення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Повідомлення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(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Повідомлення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інформацію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) </w:t>
      </w: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4450"/>
        <w:gridCol w:w="4130"/>
        <w:gridCol w:w="20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Повідом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лення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розміщено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власному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веб-сайті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учасника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фондового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ринку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http://www.otke.cn.ua/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17.03.2021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(URL-адреса веб-сайту)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(дата)</w:t>
            </w:r>
          </w:p>
        </w:tc>
      </w:tr>
    </w:tbl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  <w:sectPr w:rsidR="00000000">
          <w:pgSz w:w="12240" w:h="15840"/>
          <w:pgMar w:top="850" w:right="850" w:bottom="850" w:left="850" w:header="720" w:footer="720" w:gutter="0"/>
          <w:cols w:space="720"/>
          <w:noEndnote/>
        </w:sectPr>
      </w:pPr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Відомості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про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зміну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акціонерів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яким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належать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голосуючі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акції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>,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розмі</w:t>
      </w:r>
      <w:proofErr w:type="gramStart"/>
      <w:r>
        <w:rPr>
          <w:rFonts w:ascii="Times New Roman CYR" w:hAnsi="Times New Roman CYR" w:cs="Times New Roman CYR"/>
          <w:b/>
          <w:bCs/>
          <w:sz w:val="24"/>
          <w:szCs w:val="24"/>
        </w:rPr>
        <w:t>р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пакета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яких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стає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більшим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меншим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або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рівним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пороговому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значенню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пакета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акцій</w:t>
      </w:r>
      <w:proofErr w:type="spellEnd"/>
    </w:p>
    <w:p w:rsidR="00000000" w:rsidRDefault="00E01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0" w:type="auto"/>
        <w:tblInd w:w="-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862"/>
        <w:gridCol w:w="2000"/>
        <w:gridCol w:w="4500"/>
        <w:gridCol w:w="3700"/>
        <w:gridCol w:w="1600"/>
        <w:gridCol w:w="220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/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Дата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Центрального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депозитарію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цінних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паперів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акціонера</w:t>
            </w:r>
            <w:proofErr w:type="spellEnd"/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Пр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ізвище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ім'я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, по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батькові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фізичної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особи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юридичної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особи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вла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сника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власників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акцій</w:t>
            </w:r>
            <w:proofErr w:type="spellEnd"/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Ідентифікаційний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код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юридичної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особи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юридичної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особи - резидента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код/номер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торговельного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банківського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судового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реєстру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реєстраційного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посвідчення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місцевого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органу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влади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іноземної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держави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реєстрацію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юридичної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особи - н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ерезидента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Розмі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частки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акціонера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зміни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(у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відсотках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до статутного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капіталу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Розмі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частки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акціонера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після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зміни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(у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відсотках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до статутного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капіталу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)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3</w:t>
            </w: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16.03.2021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Макаров Степан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Анатолійович</w:t>
            </w:r>
            <w:proofErr w:type="spellEnd"/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8,7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i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нформацiї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- 16.03.2021 року - дата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Центрального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депозитарію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цінних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паперів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перелiку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надсилатиметься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письмове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повідомлення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складеного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станом на 01.03.202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1 року.</w:t>
            </w:r>
          </w:p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i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набуття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вiдчуження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чином (прямо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опосередковано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вона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вiдбувалась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пряме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вiдчуження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прав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пакет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понад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порогове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розм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i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власникiв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кiлькостi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пiсля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набуття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вiдчуження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права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пакет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: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 8,7% 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пiсля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 0% статутного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капіталу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розмiр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власникiв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кiлькостi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голосуючих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пiсля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набуття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вiдчуження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права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таки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пакет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пiдсумковий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пакет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голосуючих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): 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відчуження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- 10,26%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пiсля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відчуження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 0%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кількості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голосуючих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вiдомостi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прiзвище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iм'я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батьковi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фiзичної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iдентифiкацiйний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код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оби,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вiдсоток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прав голосу,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дорiвнює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перевищує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порогове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входять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ланцюга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корпоративними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правами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особи, через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особа (особи,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спiльно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здiйснює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розпорядження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акцiям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вiдомостi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вiдсутнi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дата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яку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пороговi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було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досягнуто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перетнуто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наявностi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вiдомостi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вiдсутнi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</w:t>
            </w:r>
          </w:p>
        </w:tc>
        <w:tc>
          <w:tcPr>
            <w:tcW w:w="2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16.03.2021</w:t>
            </w:r>
          </w:p>
        </w:tc>
        <w:tc>
          <w:tcPr>
            <w:tcW w:w="4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Ємець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Олег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Володимирович</w:t>
            </w:r>
            <w:proofErr w:type="spellEnd"/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Змі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ст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інформації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: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4862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i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нформацiї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- 16.03.2021 року - дата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отримання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Центрального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депозитарію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цінних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паперів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перелiку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надсилатиметься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письмове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повідомлення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проведення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зборів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акцiонерного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товариства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складеного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станом на 01.03.2021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року.</w:t>
            </w:r>
          </w:p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i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набуття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вiдчуження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яким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чином (прямо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опосередковано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вона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вiдбувалась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пряме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прав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пакет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понад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порогове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000000" w:rsidRPr="001A6456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розм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i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власникiв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кiлькостi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голосуючих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пiсля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набуття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вiдчуження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права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пакет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: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- 0%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пiсля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- 8,7%</w:t>
            </w:r>
            <w:r w:rsidR="001A6456">
              <w:rPr>
                <w:rFonts w:ascii="Times New Roman CYR" w:hAnsi="Times New Roman CYR" w:cs="Times New Roman CYR"/>
                <w:sz w:val="20"/>
                <w:szCs w:val="20"/>
                <w:lang w:val="uk-UA"/>
              </w:rPr>
              <w:t xml:space="preserve"> статутного капіталу</w:t>
            </w:r>
          </w:p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розмiр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частки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власника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ласникiв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кiлькостi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голосуючих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пiсля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набуття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вiдчуження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права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власностi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на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такий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пакет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пiдсумковий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пакет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голосуючих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):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-0%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пiсля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придбання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-  10,26%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від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загальної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ількості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голосуючих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акцій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вiдомос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>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осiб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прiзвище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iм'я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, по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батьковi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фiзичної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найменування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iдентифiкацiйний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код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особи,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вiдсоток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прав голосу,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вiн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дорiвнює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перевищує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порогове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входять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до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ланцюга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володiння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корпоративними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правами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юридичної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</w:t>
            </w: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оби, через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яких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особа (особи,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що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дiють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спiльно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здiйснює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ють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розпорядження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акцiям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и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-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вiдомостi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вiдсутнi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дата, 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яку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пороговi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значення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було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досягнуто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або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перетнуто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(за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наявностi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):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вiдомостi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вiдсутнi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  <w:p w:rsidR="00000000" w:rsidRDefault="00E01A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</w:tbl>
    <w:p w:rsidR="00E01A10" w:rsidRDefault="00E01A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sectPr w:rsidR="00E01A10">
      <w:pgSz w:w="16838" w:h="11906" w:orient="landscape"/>
      <w:pgMar w:top="850" w:right="850" w:bottom="850" w:left="14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A6456"/>
    <w:rsid w:val="001A6456"/>
    <w:rsid w:val="00E01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889</Words>
  <Characters>5071</Characters>
  <Application>Microsoft Office Word</Application>
  <DocSecurity>0</DocSecurity>
  <Lines>42</Lines>
  <Paragraphs>11</Paragraphs>
  <ScaleCrop>false</ScaleCrop>
  <Company>diakov.net</Company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</dc:creator>
  <cp:lastModifiedBy>Star</cp:lastModifiedBy>
  <cp:revision>2</cp:revision>
  <dcterms:created xsi:type="dcterms:W3CDTF">2021-03-17T13:16:00Z</dcterms:created>
  <dcterms:modified xsi:type="dcterms:W3CDTF">2021-03-17T13:16:00Z</dcterms:modified>
</cp:coreProperties>
</file>